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87R10942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preparedness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418.0556.</w:t>
      </w:r>
      <w:r>
        <w:rPr>
          <w:u w:val="single"/>
        </w:rPr>
        <w:t xml:space="preserve"> </w:t>
      </w:r>
      <w:r>
        <w:rPr>
          <w:u w:val="single"/>
        </w:rPr>
        <w:t xml:space="preserve"> </w:t>
      </w:r>
      <w:r>
        <w:rPr>
          <w:u w:val="single"/>
        </w:rPr>
        <w:t xml:space="preserve">DISASTER PREPAREDNESS EDUCATION.  (a)  The division shall develop disaster preparedness educational materials that include instructions for  preparing a disaster kit containing supplies most needed in a disaster or emergency, such as water, nonperishable food, medical supplies, flashlights, and other essential items, to assist families and businesses in adequately preparing for hurricanes, floods, fires, freezing temperatures, drought, and other potential disasters.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post on the division's Internet website and distribute to local governments and businesses the educational materials and instructions developed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