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coordinated system for the dispatch, triage, transport, and transfer of patients in certain trauma service area regional advisory councils; providing rulemaking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773, Health and Safety Code, is amended by adding Section 773.1141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773.1141.</w:t>
      </w:r>
      <w:r>
        <w:rPr>
          <w:u w:val="single"/>
        </w:rPr>
        <w:t xml:space="preserve"> </w:t>
      </w:r>
      <w:r>
        <w:rPr>
          <w:u w:val="single"/>
        </w:rPr>
        <w:t xml:space="preserve"> </w:t>
      </w:r>
      <w:r>
        <w:rPr>
          <w:u w:val="single"/>
        </w:rPr>
        <w:t xml:space="preserve">INFORMATION AND GUIDELINES RELATED TO CERTAIN PATIENT TRANSFERS AND RELATED SERVICES.  (a) This section applies only to a trauma service area regional advisory council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county located on the international border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county adjacent to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trauma service area regional advisory council to which this section applies, the department, by January 1, 2022,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council to create an advisory committee composed of equally represented designated trauma hospital members located within the geographic boundaries of the council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guidelines for patient transfers;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periodically review patient transfers to ensure compliance with applicable 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purpose of ensuring that patients located in the council's geographic boundaries receive health care at the closest and most appropriate health care facility, require the council to implement a centralized system to assist the council in the dispatch, triage, transport, and transfer of patients;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hospital and emergency services provider operating within the geographic boundaries of the council to collect and report to the council data on patients transferred outside the geographic boundaries of the council.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