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Guillen</w:t>
      </w:r>
      <w:r xml:space="preserve">
        <w:tab wTab="150" tlc="none" cTlc="0"/>
      </w:r>
      <w:r>
        <w:t xml:space="preserve">H.B.</w:t>
      </w:r>
      <w:r xml:space="preserve">
        <w:t> </w:t>
      </w:r>
      <w:r>
        <w:t xml:space="preserve">No.</w:t>
      </w:r>
      <w:r xml:space="preserve">
        <w:t> </w:t>
      </w:r>
      <w:r>
        <w:t xml:space="preserve">3582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awarding of grants to initiate, expand, maintain, and improve emergency medical services and to support medical systems and facilities that provide trauma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773.119(b), Health and Safety Code, is amended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eligibility criteria for awarding the grants.  The rules must require the department to consider:</w:t>
      </w:r>
    </w:p>
    <w:p w:rsidR="003F3435" w:rsidRDefault="0032493E">
      <w:pPr>
        <w:spacing w:line="480" w:lineRule="auto"/>
        <w:ind w:firstLine="1440"/>
        <w:jc w:val="both"/>
      </w:pPr>
      <w:r>
        <w:t xml:space="preserve">(1)</w:t>
      </w:r>
      <w:r xml:space="preserve">
        <w:t> </w:t>
      </w:r>
      <w:r xml:space="preserve">
        <w:t> </w:t>
      </w:r>
      <w:r>
        <w:t xml:space="preserve">the need of an area for the provision of emergency medical services or trauma care and the extent to which the grant would meet the identified need;</w:t>
      </w:r>
    </w:p>
    <w:p w:rsidR="003F3435" w:rsidRDefault="0032493E">
      <w:pPr>
        <w:spacing w:line="480" w:lineRule="auto"/>
        <w:ind w:firstLine="1440"/>
        <w:jc w:val="both"/>
      </w:pPr>
      <w:r>
        <w:t xml:space="preserve">(2)</w:t>
      </w:r>
      <w:r xml:space="preserve">
        <w:t> </w:t>
      </w:r>
      <w:r xml:space="preserve">
        <w:t> </w:t>
      </w:r>
      <w:r>
        <w:t xml:space="preserve">the availability of personnel and training programs;</w:t>
      </w:r>
    </w:p>
    <w:p w:rsidR="003F3435" w:rsidRDefault="0032493E">
      <w:pPr>
        <w:spacing w:line="480" w:lineRule="auto"/>
        <w:ind w:firstLine="1440"/>
        <w:jc w:val="both"/>
      </w:pPr>
      <w:r>
        <w:t xml:space="preserve">(3)</w:t>
      </w:r>
      <w:r xml:space="preserve">
        <w:t> </w:t>
      </w:r>
      <w:r xml:space="preserve">
        <w:t> </w:t>
      </w:r>
      <w:r>
        <w:t xml:space="preserve">the availability of other funding sources;</w:t>
      </w:r>
    </w:p>
    <w:p w:rsidR="003F3435" w:rsidRDefault="0032493E">
      <w:pPr>
        <w:spacing w:line="480" w:lineRule="auto"/>
        <w:ind w:firstLine="1440"/>
        <w:jc w:val="both"/>
      </w:pPr>
      <w:r>
        <w:t xml:space="preserve">(4)</w:t>
      </w:r>
      <w:r xml:space="preserve">
        <w:t> </w:t>
      </w:r>
      <w:r xml:space="preserve">
        <w:t> </w:t>
      </w:r>
      <w:r>
        <w:t xml:space="preserve">the assurance of providing quality services;</w:t>
      </w:r>
    </w:p>
    <w:p w:rsidR="003F3435" w:rsidRDefault="0032493E">
      <w:pPr>
        <w:spacing w:line="480" w:lineRule="auto"/>
        <w:ind w:firstLine="1440"/>
        <w:jc w:val="both"/>
      </w:pPr>
      <w:r>
        <w:t xml:space="preserve">(5)</w:t>
      </w:r>
      <w:r xml:space="preserve">
        <w:t> </w:t>
      </w:r>
      <w:r xml:space="preserve">
        <w:t> </w:t>
      </w:r>
      <w:r>
        <w:t xml:space="preserve">the use or acquisition of helicopters for emergency medical evacuation;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development or existence of an emergency medical services system</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development of a centralized system for the dispatch, triage, transport, and transfer of patients, including the use or acquisition of technology, to ensure coordinated patient transports and transfers, the efficient utilization of trauma care and emergency medical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