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3584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monuments, markers, and medallions controlled by the Texas Historical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442.006, Government Code, is amended by adding Subsections (i) and (j)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a monument, marker, or medallion installed by the commission is state property solely under the commission's custody and control and may not be altered, removed, relocated, covered, obscured, or concealed without the express written permission of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attorney general may file suit in district court to seek civil penalties in accordance with Section 442.011 and equitable relief in accordance with Section 442.012 against a person who violates this section. </w:t>
      </w:r>
      <w:r>
        <w:rPr>
          <w:u w:val="single"/>
        </w:rPr>
        <w:t xml:space="preserve"> </w:t>
      </w:r>
      <w:r>
        <w:rPr>
          <w:u w:val="single"/>
        </w:rPr>
        <w:t xml:space="preserve">Governmental immunity to suit of any county, municipality, or other political subdivision is waived and abolished to the extent liability is created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442.011, Government Code, is amended to read as follows:</w:t>
      </w:r>
    </w:p>
    <w:p w:rsidR="003F3435" w:rsidRDefault="0032493E">
      <w:pPr>
        <w:spacing w:line="480" w:lineRule="auto"/>
        <w:ind w:firstLine="720"/>
        <w:jc w:val="both"/>
      </w:pPr>
      <w:r>
        <w:t xml:space="preserve">Sec.</w:t>
      </w:r>
      <w:r xml:space="preserve">
        <w:t> </w:t>
      </w:r>
      <w:r>
        <w:t xml:space="preserve">442.011.</w:t>
      </w:r>
      <w:r xml:space="preserve">
        <w:t> </w:t>
      </w:r>
      <w:r xml:space="preserve">
        <w:t> </w:t>
      </w:r>
      <w:r>
        <w:t xml:space="preserve">PENALTY. </w:t>
      </w:r>
      <w:r>
        <w:t xml:space="preserve"> </w:t>
      </w:r>
      <w:r>
        <w:t xml:space="preserve">A person who violates this chapter or Chapter 191, Natural Resources Code, is subject to a civil penalty of not less than $50 nor more than $1,000 for each day of violation. </w:t>
      </w:r>
      <w:r>
        <w:t xml:space="preserve"> </w:t>
      </w:r>
      <w:r>
        <w:rPr>
          <w:u w:val="single"/>
        </w:rPr>
        <w:t xml:space="preserve">Each day a violation continues may be considered a separate violation.  If the party seeking a civil penalty demonstrates the same violation occurred on more than one day, it is presumed that the person committed a violation on each intervening day between the days of violation, including the days </w:t>
      </w:r>
      <w:r>
        <w:rPr>
          <w:u w:val="single"/>
        </w:rPr>
        <w:t xml:space="preserve">on which a violation was demonstrated.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