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87R19753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Guillen</w:t>
      </w:r>
      <w:r xml:space="preserve">
        <w:tab wTab="150" tlc="none" cTlc="0"/>
      </w:r>
      <w:r>
        <w:t xml:space="preserve">H.B.</w:t>
      </w:r>
      <w:r xml:space="preserve">
        <w:t> </w:t>
      </w:r>
      <w:r>
        <w:t xml:space="preserve">No.</w:t>
      </w:r>
      <w:r xml:space="preserve">
        <w:t> </w:t>
      </w:r>
      <w:r>
        <w:t xml:space="preserve">3591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3591:</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high-speed Internet access grant program to facilitate instruction and learning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Education Code, is amended by adding Subchapter H to read as follows:</w:t>
      </w:r>
    </w:p>
    <w:p w:rsidR="003F3435" w:rsidRDefault="0032493E">
      <w:pPr>
        <w:spacing w:line="480" w:lineRule="auto"/>
        <w:jc w:val="center"/>
      </w:pPr>
      <w:r>
        <w:rPr>
          <w:u w:val="single"/>
        </w:rPr>
        <w:t xml:space="preserve">SUBCHAPTER H.  HIGH-SPEED INTERNET ACCESS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32.321.</w:t>
      </w:r>
      <w:r>
        <w:rPr>
          <w:u w:val="single"/>
        </w:rPr>
        <w:t xml:space="preserve"> </w:t>
      </w:r>
      <w:r>
        <w:rPr>
          <w:u w:val="single"/>
        </w:rPr>
        <w:t xml:space="preserve"> </w:t>
      </w:r>
      <w:r>
        <w:rPr>
          <w:u w:val="single"/>
        </w:rPr>
        <w:t xml:space="preserve">ESTABLISHMENT OF PROGRAM.  (a)  The agency shall establish a high-speed Internet access grant program to provide grants to school districts and open-enrollment charter schools to provide high-speed Internet to facilitate instruction and learning for students enrolled in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publish on the agency's Internet website a list of providers of high-speed Internet services, infrastructure, equipment, and devices approved for participation in the grant program.  Approval of providers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quality of the service or product;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availability of the service or product;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reasonableness of the rates or costs of the service or product;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agreement by the provider to abide by grant program requirements or separate requirements established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negotiate with providers approved under Subsection (b) to obtain rates and costs favorable to school districts and open-enrollment charter schools in connection with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an open-enrollment charter school may apply to the commissioner to participate in the grant program.  In awarding grants under this subchapter for each school year, the commissioner shall consider for each district or school that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high-speed Internet access for students at district or school facilities or at the residences of the students enrolled in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funding available to the district or school to provide high-speed Internet access to students enrolled in the district or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budgeted plans for providing high-speed Internet access to students enrolled in the district or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determine the terms of a grant awarded under this section, including limits on the amount of a grant and the approved uses of grant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may administer the grant program or contract with a regional education service center to administer the grant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recover funds not used in accordance with the terms of a grant by withholding amounts from any state funds otherwise due to the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32.322.</w:t>
      </w:r>
      <w:r>
        <w:rPr>
          <w:u w:val="single"/>
        </w:rPr>
        <w:t xml:space="preserve"> </w:t>
      </w:r>
      <w:r>
        <w:rPr>
          <w:u w:val="single"/>
        </w:rPr>
        <w:t xml:space="preserve"> </w:t>
      </w:r>
      <w:r>
        <w:rPr>
          <w:u w:val="single"/>
        </w:rPr>
        <w:t xml:space="preserve">FUNDING.  (a)  To establish the grant program authorized under this subchapter, the commissioner shall use funds appropriated for the purpose and may use other funds available for the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solicit and accept gifts, grants, and donations from any public or private source, including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in this subchapter, the commissioner is required to establish the grant program under this subchapter only if the legislature appropriates money specifically for that purpose. </w:t>
      </w:r>
      <w:r>
        <w:rPr>
          <w:u w:val="single"/>
        </w:rPr>
        <w:t xml:space="preserve"> </w:t>
      </w:r>
      <w:r>
        <w:rPr>
          <w:u w:val="single"/>
        </w:rPr>
        <w:t xml:space="preserve">If the legislature does not appropriate money specifically for that purpose, the commissioner may, but is not required to, establish the grant program under this subchapter using other appropriations available for that purpose. </w:t>
      </w:r>
      <w:r>
        <w:rPr>
          <w:u w:val="single"/>
        </w:rPr>
        <w:t xml:space="preserve"> </w:t>
      </w:r>
      <w:r>
        <w:rPr>
          <w:u w:val="single"/>
        </w:rPr>
        <w:t xml:space="preserve">If funds are not appropriated and are not otherwise available for the purpose of the grant program authorized under this subchapter,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grant program with funding obtained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and maintain the approved provider list under Section 32.321(b) independently of the grant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negotiate on behalf of school districts and open-enrollment charter schools with providers approved under Section 32.321(b) independently of the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32.323.</w:t>
      </w:r>
      <w:r>
        <w:rPr>
          <w:u w:val="single"/>
        </w:rPr>
        <w:t xml:space="preserve"> </w:t>
      </w:r>
      <w:r>
        <w:rPr>
          <w:u w:val="single"/>
        </w:rPr>
        <w:t xml:space="preserve"> </w:t>
      </w:r>
      <w:r>
        <w:rPr>
          <w:u w:val="single"/>
        </w:rPr>
        <w:t xml:space="preserve">RULES.  The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