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87R11685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Utility Commission of Texas and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12.058, Utilities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MEETINGS.  </w:t>
      </w:r>
      <w:r>
        <w:rPr>
          <w:u w:val="single"/>
        </w:rPr>
        <w:t xml:space="preserve">(a)</w:t>
      </w:r>
      <w:r>
        <w:t xml:space="preserve"> </w:t>
      </w:r>
      <w:r>
        <w:t xml:space="preserve"> </w:t>
      </w:r>
      <w:r>
        <w:t xml:space="preserve">The commission shall hold meetings at its office and at other convenient places in this state as expedient and necessary for the proper performance of the commission's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requirements of Chapter 551, Government Code, if a disaster is imminent that could threaten the provision of electric or water service in this state regulated by the commission, the governor may authorize the commission to meet or otherwise communicate to prepare for and respond to the imminent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39.151, Utilities Code, is amended by amending Subsections (g) and (g-1) and adding Subsection (g-2) to read as follows:</w:t>
      </w:r>
    </w:p>
    <w:p w:rsidR="003F3435" w:rsidRDefault="0032493E">
      <w:pPr>
        <w:spacing w:line="480" w:lineRule="auto"/>
        <w:ind w:firstLine="720"/>
        <w:jc w:val="both"/>
      </w:pPr>
      <w:r>
        <w:t xml:space="preserve">(g)</w:t>
      </w:r>
      <w:r xml:space="preserve">
        <w:t> </w:t>
      </w:r>
      <w:r xml:space="preserve">
        <w:t> </w:t>
      </w:r>
      <w:r>
        <w:rPr>
          <w:u w:val="single"/>
        </w:rPr>
        <w:t xml:space="preserve">The commission may certify an independent organization under this section only if the</w:t>
      </w:r>
      <w:r>
        <w:t xml:space="preserve"> [</w:t>
      </w:r>
      <w:r>
        <w:rPr>
          <w:strike/>
        </w:rPr>
        <w:t xml:space="preserve">To maintain certification as an independent organization under this section, an</w:t>
      </w:r>
      <w:r>
        <w:t xml:space="preserve">] organization's governing body </w:t>
      </w:r>
      <w:r>
        <w:rPr>
          <w:u w:val="single"/>
        </w:rPr>
        <w:t xml:space="preserve">is</w:t>
      </w:r>
      <w:r>
        <w:t xml:space="preserve"> [</w:t>
      </w:r>
      <w:r>
        <w:rPr>
          <w:strike/>
        </w:rPr>
        <w:t xml:space="preserve">must be</w:t>
      </w:r>
      <w:r>
        <w:t xml:space="preserve">] composed of </w:t>
      </w:r>
      <w:r>
        <w:rPr>
          <w:u w:val="single"/>
        </w:rPr>
        <w:t xml:space="preserve">15 members appointed by the commission with the advice and consent of the senate</w:t>
      </w:r>
      <w:r>
        <w:t xml:space="preserve"> [</w:t>
      </w:r>
      <w:r>
        <w:rPr>
          <w:strike/>
        </w:rPr>
        <w:t xml:space="preserve">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chairman of the commission as an ex officio nonvoting member;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counsellor as an ex officio voting member representing residential and small commercial consumer interests;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chief executive officer of the independent organization as an ex officio voting member;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six market participants elected by their respective market segments to serve one-year terms, with: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representing independent generators;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representing investor-owned utilities;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representing power marketers;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one representing retail electric providers;</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one representing municipally owned utilities;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one representing electric cooperatives;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t xml:space="preserve">(g-1)</w:t>
      </w:r>
      <w:r xml:space="preserve">
        <w:t> </w:t>
      </w:r>
      <w:r xml:space="preserve">
        <w:t> </w:t>
      </w:r>
      <w:r>
        <w:t xml:space="preserve">The </w:t>
      </w:r>
      <w:r>
        <w:rPr>
          <w:u w:val="single"/>
        </w:rPr>
        <w:t xml:space="preserve">commission shall designate the</w:t>
      </w:r>
      <w:r>
        <w:t xml:space="preserve"> presiding officer of the governing body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 of the governing body of an independent organization certified under this section serve staggered terms of six years, with one-third of the members' terms expiring February 1 of each odd-numbered year.  Not later than the 30th day after the date a member of the governing body's term expires, the commission shall appoint a replacement in the same manner as the original appointment.  If a vacancy occurs on the governing body, the commission shall appoint a successor in the same manner as the original appointment to serve for the remainder of the unexpired term.  The commission shall appoint the successor not later than the 30th day after the date the vacancy occurs.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2021, the Public Utility Commission of Texas shall comply with Section 39.151, Utilities Code, as amended by this Act, by appointing members to the governing body of the independent organization certified under Section 39.151, Utilities Code, by the Public Utility Commission of Texas before the effective date of this Act. </w:t>
      </w:r>
      <w:r>
        <w:t xml:space="preserve"> </w:t>
      </w:r>
      <w:r>
        <w:t xml:space="preserve">In appointing the initial members of the governing body, the Public Utility Commission of Texas shall appoint five persons to terms expiring February 1, 2023, five persons to terms expiring February 1, 2025, and five persons to terms expiring February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