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87R8727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Governor's EMS and Trauma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773.012(b),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advisory council is composed of the following </w:t>
      </w:r>
      <w:r>
        <w:rPr>
          <w:u w:val="single"/>
        </w:rPr>
        <w:t xml:space="preserve">20</w:t>
      </w:r>
      <w:r>
        <w:t xml:space="preserve"> [</w:t>
      </w:r>
      <w:r>
        <w:rPr>
          <w:strike/>
        </w:rPr>
        <w:t xml:space="preserve">19</w:t>
      </w:r>
      <w:r>
        <w:t xml:space="preserve">] members appointed by the governor: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board-certified emergency physician, appointed from a list of names recommended by a statewide professional association of emergency physicians;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licensed physician who is an emergency medical services medical director, appointed from a list of names recommended by a statewide professional association of emergency medical services medical directors;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registered nurse, appointed from a list of names recommended by a statewide professional association of emergency nurses;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fire chief for a municipality that provides emergency medical services, appointed from a list of names recommended by a statewide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officer or employee of a private provider of emergency medical services who is involved with the development of a Texas Trauma System, appointed from a list of names recommended by a statewide association of private providers of emergency medical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volunteer who provides emergency medical services, appointed from a list of names recommended by a statewide association of volunteers;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an educator in the field of emergency medical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member of an emergency medical services air medical team or unit, appointed from a list of names recommended by a statewide emergency medical services air medical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representative of a fire department that provides emergency medical services, appointed from a list of names recommended by a statewide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representative of hospitals who is affiliated with a hospital that is a designated trauma facility in an urban community, appointed from a list of names recommended by a statewide association of hospitals;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representative of hospitals, who is affiliated with a hospital that is a designated trauma facility in a rural community, appointed from a list of names recommended by a statewide association of hospitals;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representative of a county provider of emergency medical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one licensed physician who is a pediatrician with trauma or emergency care expertise;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one trauma surgeon;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one registered nurse with trauma expertise;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representative of a stand-alone emergency medical services agency in a municipality or taxing district, appointed from a list of names recommended by a statewide association representing emergency medical services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certified paramedic, appointed from a list of names recommended by a statewide association representing emergency medical services agencies or emergency medical services personnel;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rPr>
          <w:u w:val="single"/>
        </w:rPr>
        <w:t xml:space="preserve">a representative of an ambulatory surgical center, appointed from a list of names recommended by a statewide association representing ambulatory surgical centers;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 xml:space="preserve">
        <w:t> </w:t>
      </w:r>
      <w:r>
        <w:t xml:space="preserve">two representatives of the general public who are not qualified to serve under another subdivision of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2021, the governor shall appoint the member of the council as required by Section 773.012(b)(18), Health and Safety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