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87R7599 CAE/CJC-F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Sanford, Middleton</w:t>
      </w:r>
      <w:r xml:space="preserve">
        <w:tab wTab="150" tlc="none" cTlc="0"/>
      </w:r>
      <w:r>
        <w:t xml:space="preserve">H.B.</w:t>
      </w:r>
      <w:r xml:space="preserve">
        <w:t> </w:t>
      </w:r>
      <w:r>
        <w:t xml:space="preserve">No.</w:t>
      </w:r>
      <w:r xml:space="preserve">
        <w:t> </w:t>
      </w:r>
      <w:r>
        <w:t xml:space="preserve">3610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open-enrollment charter school is considered to be:</w:t>
      </w:r>
    </w:p>
    <w:p w:rsidR="003F3435" w:rsidRDefault="0032493E">
      <w:pPr>
        <w:spacing w:line="480" w:lineRule="auto"/>
        <w:ind w:firstLine="1440"/>
        <w:jc w:val="both"/>
      </w:pPr>
      <w:r>
        <w:t xml:space="preserve">(1)</w:t>
      </w:r>
      <w:r xml:space="preserve">
        <w:t> </w:t>
      </w:r>
      <w:r xml:space="preserve">
        <w:t> </w:t>
      </w:r>
      <w:r>
        <w:t xml:space="preserve">a local government for purposes of Chapter 791, Government Code;</w:t>
      </w:r>
    </w:p>
    <w:p w:rsidR="003F3435" w:rsidRDefault="0032493E">
      <w:pPr>
        <w:spacing w:line="480" w:lineRule="auto"/>
        <w:ind w:firstLine="1440"/>
        <w:jc w:val="both"/>
      </w:pPr>
      <w:r>
        <w:t xml:space="preserve">(2)</w:t>
      </w:r>
      <w:r xml:space="preserve">
        <w:t> </w:t>
      </w:r>
      <w:r xml:space="preserve">
        <w:t> </w:t>
      </w:r>
      <w:r>
        <w:t xml:space="preserve">a local government for purposes of Chapter 2259, Government Code, except that an open-enrollment charter school may not issue public securities as provided by Section 2259.031(b), Government Code;</w:t>
      </w:r>
    </w:p>
    <w:p w:rsidR="003F3435" w:rsidRDefault="0032493E">
      <w:pPr>
        <w:spacing w:line="480" w:lineRule="auto"/>
        <w:ind w:firstLine="1440"/>
        <w:jc w:val="both"/>
      </w:pPr>
      <w:r>
        <w:t xml:space="preserve">(3)</w:t>
      </w:r>
      <w:r xml:space="preserve">
        <w:t> </w:t>
      </w:r>
      <w:r xml:space="preserve">
        <w:t> </w:t>
      </w:r>
      <w:r>
        <w:t xml:space="preserve">a political subdivision for purposes of Chapter 172, Local Government Code;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local governmental entity for purposes of Subchapter I, Chapter 271, Local Government Code</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political subdivision for purposes of Section 16.061, Civil Practice and Remedies Code, with respect to any property purchased, leased, constructed, renovated, or improved with state funds under Section 12.128 of this code after September 1, 2001;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political subdivision for purposes of Section 11.11,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12.128(a)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Property purchased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(a-1)</w:t>
      </w:r>
      <w:r xml:space="preserve">
        <w:t> </w:t>
      </w:r>
      <w:r xml:space="preserve">
        <w:t> </w:t>
      </w:r>
      <w:r>
        <w:t xml:space="preserve">Property leased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exempt from ad valorem taxation as provided by Section 11.11,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