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 Middleton, Sanford</w:t>
      </w:r>
      <w:r xml:space="preserve">
        <w:tab wTab="150" tlc="none" cTlc="0"/>
      </w:r>
      <w:r>
        <w:t xml:space="preserve">H.B.</w:t>
      </w:r>
      <w:r xml:space="preserve">
        <w:t> </w:t>
      </w:r>
      <w:r>
        <w:t xml:space="preserve">No.</w:t>
      </w:r>
      <w:r xml:space="preserve">
        <w:t> </w:t>
      </w:r>
      <w:r>
        <w:t xml:space="preserve">3610</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Springer)</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14,</w:t>
      </w:r>
      <w:r xml:space="preserve">
        <w:t> </w:t>
      </w:r>
      <w:r>
        <w:t xml:space="preserve">2021, read first time and referred to Committee on Finance; May</w:t>
      </w:r>
      <w:r xml:space="preserve">
        <w:t> </w:t>
      </w:r>
      <w:r>
        <w:t xml:space="preserve">21,</w:t>
      </w:r>
      <w:r xml:space="preserve">
        <w:t> </w:t>
      </w:r>
      <w:r>
        <w:t xml:space="preserve">2021, reported favorably by the following vote:</w:t>
      </w:r>
      <w:r>
        <w:t xml:space="preserve"> </w:t>
      </w:r>
      <w:r>
        <w:t xml:space="preserve"> </w:t>
      </w:r>
      <w:r>
        <w:t xml:space="preserve">Yeas 12,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applicability of certain laws to certain public schools and certain requirements of a charter school that receives certain tax exemptions.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12.1058(a),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open-enrollment charter school is considered to be:</w:t>
      </w:r>
    </w:p>
    <w:p w:rsidR="003F3435" w:rsidRDefault="0032493E">
      <w:pPr>
        <w:spacing w:line="480" w:lineRule="auto"/>
        <w:ind w:firstLine="1440"/>
        <w:jc w:val="both"/>
      </w:pPr>
      <w:r>
        <w:t xml:space="preserve">(1)</w:t>
      </w:r>
      <w:r xml:space="preserve">
        <w:t> </w:t>
      </w:r>
      <w:r xml:space="preserve">
        <w:t> </w:t>
      </w:r>
      <w:r>
        <w:t xml:space="preserve">a local government for purposes of Chapter 791, Government Code;</w:t>
      </w:r>
    </w:p>
    <w:p w:rsidR="003F3435" w:rsidRDefault="0032493E">
      <w:pPr>
        <w:spacing w:line="480" w:lineRule="auto"/>
        <w:ind w:firstLine="1440"/>
        <w:jc w:val="both"/>
      </w:pPr>
      <w:r>
        <w:t xml:space="preserve">(2)</w:t>
      </w:r>
      <w:r xml:space="preserve">
        <w:t> </w:t>
      </w:r>
      <w:r xml:space="preserve">
        <w:t> </w:t>
      </w:r>
      <w:r>
        <w:t xml:space="preserve">a local government for purposes of Chapter 2259, Government Code, except that an open-enrollment charter school may not issue public securities as provided by Section 2259.031(b), Government Code;</w:t>
      </w:r>
    </w:p>
    <w:p w:rsidR="003F3435" w:rsidRDefault="0032493E">
      <w:pPr>
        <w:spacing w:line="480" w:lineRule="auto"/>
        <w:ind w:firstLine="1440"/>
        <w:jc w:val="both"/>
      </w:pPr>
      <w:r>
        <w:t xml:space="preserve">(3)</w:t>
      </w:r>
      <w:r xml:space="preserve">
        <w:t> </w:t>
      </w:r>
      <w:r xml:space="preserve">
        <w:t> </w:t>
      </w:r>
      <w:r>
        <w:t xml:space="preserve">a political subdivision for purposes of Chapter 172, Local Government Code;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local governmental entity for purposes of Subchapter I, Chapter 271, Local Government Code</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political subdivision for purposes of Section 16.061, Civil Practice and Remedies Code, with respect to any property purchased, leased, constructed, renovated, or improved with state funds under Section 12.128 of this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political subdivision for purposes of Section 11.11, Tax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12.128(a) and (a-1), Education Code, are amended to read as follows:</w:t>
      </w:r>
    </w:p>
    <w:p w:rsidR="003F3435" w:rsidRDefault="0032493E">
      <w:pPr>
        <w:spacing w:line="480" w:lineRule="auto"/>
        <w:ind w:firstLine="720"/>
        <w:jc w:val="both"/>
      </w:pPr>
      <w:r>
        <w:t xml:space="preserve">(a)</w:t>
      </w:r>
      <w:r xml:space="preserve">
        <w:t> </w:t>
      </w:r>
      <w:r xml:space="preserve">
        <w:t> </w:t>
      </w:r>
      <w:r>
        <w:t xml:space="preserve">Property purchased with funds received by a charter holder under Section 12.106 [</w:t>
      </w:r>
      <w:r>
        <w:rPr>
          <w:strike/>
        </w:rPr>
        <w:t xml:space="preserve">after September 1, 2001</w:t>
      </w:r>
      <w:r>
        <w:t xml:space="preserve">]:</w:t>
      </w:r>
    </w:p>
    <w:p w:rsidR="003F3435" w:rsidRDefault="0032493E">
      <w:pPr>
        <w:spacing w:line="480" w:lineRule="auto"/>
        <w:ind w:firstLine="1440"/>
        <w:jc w:val="both"/>
      </w:pPr>
      <w:r>
        <w:t xml:space="preserve">(1)</w:t>
      </w:r>
      <w:r xml:space="preserve">
        <w:t> </w:t>
      </w:r>
      <w:r xml:space="preserve">
        <w:t> </w:t>
      </w:r>
      <w:r>
        <w:t xml:space="preserve">is considered to be public property for all purposes under state law;</w:t>
      </w:r>
    </w:p>
    <w:p w:rsidR="003F3435" w:rsidRDefault="0032493E">
      <w:pPr>
        <w:spacing w:line="480" w:lineRule="auto"/>
        <w:ind w:firstLine="1440"/>
        <w:jc w:val="both"/>
      </w:pPr>
      <w:r>
        <w:t xml:space="preserve">(2)</w:t>
      </w:r>
      <w:r xml:space="preserve">
        <w:t> </w:t>
      </w:r>
      <w:r xml:space="preserve">
        <w:t> </w:t>
      </w:r>
      <w:r>
        <w:t xml:space="preserve">is property of this state held in trust by the charter holder for the benefit of the students of the open-enrollment charter school;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district may use school district property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exempt from ad valorem taxation as provided by Section 11.11, Tax Code</w:t>
      </w:r>
      <w:r>
        <w:t xml:space="preserve">.</w:t>
      </w:r>
    </w:p>
    <w:p w:rsidR="003F3435" w:rsidRDefault="0032493E">
      <w:pPr>
        <w:spacing w:line="480" w:lineRule="auto"/>
        <w:ind w:firstLine="720"/>
        <w:jc w:val="both"/>
      </w:pPr>
      <w:r>
        <w:t xml:space="preserve">(a-1)</w:t>
      </w:r>
      <w:r xml:space="preserve">
        <w:t> </w:t>
      </w:r>
      <w:r xml:space="preserve">
        <w:t> </w:t>
      </w:r>
      <w:r>
        <w:t xml:space="preserve">Property leased with funds received by a charter holder under Section 12.106 [</w:t>
      </w:r>
      <w:r>
        <w:rPr>
          <w:strike/>
        </w:rPr>
        <w:t xml:space="preserve">after September 1, 2001</w:t>
      </w:r>
      <w:r>
        <w:t xml:space="preserve">]:</w:t>
      </w:r>
    </w:p>
    <w:p w:rsidR="003F3435" w:rsidRDefault="0032493E">
      <w:pPr>
        <w:spacing w:line="480" w:lineRule="auto"/>
        <w:ind w:firstLine="1440"/>
        <w:jc w:val="both"/>
      </w:pPr>
      <w:r>
        <w:t xml:space="preserve">(1)</w:t>
      </w:r>
      <w:r xml:space="preserve">
        <w:t> </w:t>
      </w:r>
      <w:r xml:space="preserve">
        <w:t> </w:t>
      </w:r>
      <w:r>
        <w:t xml:space="preserve">is considered to be public property for all purposes under state law;</w:t>
      </w:r>
    </w:p>
    <w:p w:rsidR="003F3435" w:rsidRDefault="0032493E">
      <w:pPr>
        <w:spacing w:line="480" w:lineRule="auto"/>
        <w:ind w:firstLine="1440"/>
        <w:jc w:val="both"/>
      </w:pPr>
      <w:r>
        <w:t xml:space="preserve">(2)</w:t>
      </w:r>
      <w:r xml:space="preserve">
        <w:t> </w:t>
      </w:r>
      <w:r xml:space="preserve">
        <w:t> </w:t>
      </w:r>
      <w:r>
        <w:t xml:space="preserve">is property of this state held in trust by the charter holder for the benefit of the students of the open-enrollment charter school;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district may use school district property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exempt from ad valorem taxation as provided by Section 11.11, Tax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12.128,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owner of property that receives a tax exemption under Subsection (a) shall transfer the amount of tax savings from the exemption to the tenant or reduce the common area maintenance fee in a proportionate amount based upon the square footage of the exempt portion of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11, Tax Code, is amended by adding Section 11.211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11.211.</w:t>
      </w:r>
      <w:r>
        <w:rPr>
          <w:u w:val="single"/>
        </w:rPr>
        <w:t xml:space="preserve"> </w:t>
      </w:r>
      <w:r>
        <w:rPr>
          <w:u w:val="single"/>
        </w:rPr>
        <w:t xml:space="preserve"> </w:t>
      </w:r>
      <w:r>
        <w:rPr>
          <w:u w:val="single"/>
        </w:rPr>
        <w:t xml:space="preserve">REAL PROPERTY LEASED TO CERTAIN SCHOOLS.  The portion of real property that is leased to an independent school district, community college district, or open-enrollment charter school authorized by Subchapter C, D, or E, Chapter 12, Education Code, is qualified and exempt from taxation pursuant to Sections 11.11 and 11.21 of this code if the portion of the real property that is leased to the public school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exclusively by the public school for the operation or administration of the school or the performance of other educational functions of the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reasonably necessary for a purpose described in Subdivision (1) as found by the school's governing body.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ad valorem taxes imposed in a tax year that begins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