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rates charged by and programs offered by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552.133, Government Code, is amended by amending Subsection (a-1) and adding Subsection (b-1) to read as follows:</w:t>
      </w:r>
    </w:p>
    <w:p w:rsidR="003F3435" w:rsidRDefault="0032493E">
      <w:pPr>
        <w:spacing w:line="480" w:lineRule="auto"/>
        <w:ind w:firstLine="720"/>
        <w:jc w:val="both"/>
      </w:pPr>
      <w:r>
        <w:t xml:space="preserve">(a-1)</w:t>
      </w:r>
      <w:r xml:space="preserve">
        <w:t> </w:t>
      </w:r>
      <w:r xml:space="preserve">
        <w:t> </w:t>
      </w:r>
      <w:r>
        <w:t xml:space="preserve">For purposes of this section, "competitive matter" means a utility-related matter that is related to the public power utility's competitive activity, including commercial information, and would, if disclosed, give advantage to competitors or prospective competitors. The term:</w:t>
      </w:r>
    </w:p>
    <w:p w:rsidR="003F3435" w:rsidRDefault="0032493E">
      <w:pPr>
        <w:spacing w:line="480" w:lineRule="auto"/>
        <w:ind w:firstLine="1440"/>
        <w:jc w:val="both"/>
      </w:pPr>
      <w:r>
        <w:t xml:space="preserve">(1)</w:t>
      </w:r>
      <w:r xml:space="preserve">
        <w:t> </w:t>
      </w:r>
      <w:r xml:space="preserve">
        <w:t> </w:t>
      </w:r>
      <w:r>
        <w:t xml:space="preserve">means a matter that is reasonably related to the following categories of information:</w:t>
      </w:r>
    </w:p>
    <w:p w:rsidR="003F3435" w:rsidRDefault="0032493E">
      <w:pPr>
        <w:spacing w:line="480" w:lineRule="auto"/>
        <w:ind w:firstLine="2160"/>
        <w:jc w:val="both"/>
      </w:pPr>
      <w:r>
        <w:t xml:space="preserve">(A)</w:t>
      </w:r>
      <w:r xml:space="preserve">
        <w:t> </w:t>
      </w:r>
      <w:r xml:space="preserve">
        <w:t> </w:t>
      </w:r>
      <w:r>
        <w:t xml:space="preserve">generation unit specific and portfolio fixed and variable costs, including forecasts of those costs, capital improvement plans for generation units, and generation unit operating characteristics and outage scheduling;</w:t>
      </w:r>
    </w:p>
    <w:p w:rsidR="003F3435" w:rsidRDefault="0032493E">
      <w:pPr>
        <w:spacing w:line="480" w:lineRule="auto"/>
        <w:ind w:firstLine="2160"/>
        <w:jc w:val="both"/>
      </w:pPr>
      <w:r>
        <w:t xml:space="preserve">(B)</w:t>
      </w:r>
      <w:r xml:space="preserve">
        <w:t> </w:t>
      </w:r>
      <w:r xml:space="preserve">
        <w:t> </w:t>
      </w:r>
      <w:r>
        <w:t xml:space="preserve">bidding and pricing information for purchased power, generation and fuel, and Electric Reliability Council of Texas bids, prices, offers, and related services and strategies;</w:t>
      </w:r>
    </w:p>
    <w:p w:rsidR="003F3435" w:rsidRDefault="0032493E">
      <w:pPr>
        <w:spacing w:line="480" w:lineRule="auto"/>
        <w:ind w:firstLine="2160"/>
        <w:jc w:val="both"/>
      </w:pPr>
      <w:r>
        <w:t xml:space="preserve">(C)</w:t>
      </w:r>
      <w:r xml:space="preserve">
        <w:t> </w:t>
      </w:r>
      <w:r xml:space="preserve">
        <w:t> </w:t>
      </w:r>
      <w:r>
        <w:t xml:space="preserve">effective fuel and purchased power agreements and fuel transportation arrangements and contracts;</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 including fuel hedging and storage;</w:t>
      </w:r>
    </w:p>
    <w:p w:rsidR="003F3435" w:rsidRDefault="0032493E">
      <w:pPr>
        <w:spacing w:line="480" w:lineRule="auto"/>
        <w:ind w:firstLine="2160"/>
        <w:jc w:val="both"/>
      </w:pPr>
      <w:r>
        <w:t xml:space="preserve">(E)</w:t>
      </w:r>
      <w:r xml:space="preserve">
        <w:t> </w:t>
      </w:r>
      <w:r xml:space="preserve">
        <w:t> </w:t>
      </w:r>
      <w:r>
        <w:t xml:space="preserve">plans, studies, proposals, and analyses for system improvements, additions, or sales, other than transmission and distribution system improvements inside the service area for which the public power utility is the sole certificated retail provider;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electric power pricing information, system load characteristics, and electric power marketing analyses and strategies; and</w:t>
      </w:r>
    </w:p>
    <w:p w:rsidR="003F3435" w:rsidRDefault="0032493E">
      <w:pPr>
        <w:spacing w:line="480" w:lineRule="auto"/>
        <w:ind w:firstLine="1440"/>
        <w:jc w:val="both"/>
      </w:pPr>
      <w:r>
        <w:t xml:space="preserve">(2)</w:t>
      </w:r>
      <w:r xml:space="preserve">
        <w:t> </w:t>
      </w:r>
      <w:r xml:space="preserve">
        <w:t> </w:t>
      </w:r>
      <w:r>
        <w:t xml:space="preserve">does not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Public Utility Commission of Texas,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or tariff of general applicability regarding rates,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2160"/>
        <w:jc w:val="both"/>
      </w:pPr>
      <w:r>
        <w:t xml:space="preserve">(N)</w:t>
      </w:r>
      <w:r xml:space="preserve">
        <w:t> </w:t>
      </w:r>
      <w:r xml:space="preserve">
        <w:t> </w:t>
      </w:r>
      <w:r>
        <w:t xml:space="preserve">salaries and total compensation of all employees of a public power utility; [</w:t>
      </w:r>
      <w:r>
        <w:rPr>
          <w:strike/>
        </w:rPr>
        <w:t xml:space="preserve">or</w:t>
      </w:r>
      <w:r>
        <w:t xml:space="preserve">]</w:t>
      </w:r>
    </w:p>
    <w:p w:rsidR="003F3435" w:rsidRDefault="0032493E">
      <w:pPr>
        <w:spacing w:line="480" w:lineRule="auto"/>
        <w:ind w:firstLine="2160"/>
        <w:jc w:val="both"/>
      </w:pPr>
      <w:r>
        <w:t xml:space="preserve">(O)</w:t>
      </w:r>
      <w:r xml:space="preserve">
        <w:t> </w:t>
      </w:r>
      <w:r xml:space="preserve">
        <w:t> </w:t>
      </w:r>
      <w:r>
        <w:t xml:space="preserve">information publicly released by the Electric Reliability Council of Texas in accordance with a law, rule, or protocol generally applicable to similarly situated market participants</w:t>
      </w:r>
      <w:r>
        <w:rPr>
          <w:u w:val="single"/>
        </w:rPr>
        <w:t xml:space="preserve">;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related to a chilled water program, as defined by Section 11.003, Utilities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contrary provision of Subsection (b), information or records of a municipally owned utility or municipality that operates a chilled water program are subject to disclosure under this chapter if the information or records are reasonably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utility's rate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 municipality or municipally owned utility uses to set rates for retail electric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a municipality or municipally owned utility uses to set rates for a chilled water program described by Subsection (a-1)(2)(P).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11.003, Utilities Code, is amended by adding Subdivision (3-a) and amending Subdivision (11)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"Chilled water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to produce chilled water at a central plant and pipe that water to buildings for air conditioning, including a district cooling system or chilled water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program designed to used chilled water to provide air conditioning, reduce peak electric demand, or shift electric load.</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w:t>
      </w:r>
      <w:r>
        <w:rPr>
          <w:u w:val="single"/>
        </w:rPr>
        <w:t xml:space="preserve">and includes any chilled water program operated by the utility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552.133, Government Code, as amended by this Act, applies only to a request for public information made on or after the effective date of this Act. </w:t>
      </w:r>
      <w:r>
        <w:t xml:space="preserve"> </w:t>
      </w:r>
      <w:r>
        <w:t xml:space="preserve">A request for public information made before the effective date of this Act is governed by the law in effect on the date of the request,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3615 was passed by the House on May 6, 2021, by the following vote:</w:t>
      </w:r>
      <w:r xml:space="preserve">
        <w:t> </w:t>
      </w:r>
      <w:r xml:space="preserve">
        <w:t> </w:t>
      </w:r>
      <w:r>
        <w:t xml:space="preserve">Yeas 105, Nays 27,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3615 was passed by the Senate on May 18,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