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87R6325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certain out-of-state applicants as a psychologist, marriage and family therapist, professional counselor, or social worker.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501.2525(c),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Subsection (a)(2)(A) does not apply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in another state to independently practice psychology; and</w:t>
      </w:r>
    </w:p>
    <w:p w:rsidR="003F3435" w:rsidRDefault="0032493E">
      <w:pPr>
        <w:spacing w:line="480" w:lineRule="auto"/>
        <w:ind w:firstLine="1440"/>
        <w:jc w:val="both"/>
      </w:pPr>
      <w:r>
        <w:t xml:space="preserve">(2)</w:t>
      </w:r>
      <w:r xml:space="preserve">
        <w:t> </w:t>
      </w:r>
      <w:r xml:space="preserve">
        <w:t> </w:t>
      </w:r>
      <w:r>
        <w:t xml:space="preserve">has independently practiced psychology in that state for at least </w:t>
      </w:r>
      <w:r>
        <w:rPr>
          <w:u w:val="single"/>
        </w:rPr>
        <w:t xml:space="preserve">the two</w:t>
      </w:r>
      <w:r>
        <w:t xml:space="preserve"> [</w:t>
      </w:r>
      <w:r>
        <w:rPr>
          <w:strike/>
        </w:rPr>
        <w:t xml:space="preserve">five</w:t>
      </w:r>
      <w:r>
        <w:t xml:space="preserve">] years </w:t>
      </w:r>
      <w:r>
        <w:rPr>
          <w:u w:val="single"/>
        </w:rPr>
        <w:t xml:space="preserve">preceding the date the application is submitted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council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the executive council's judgment, has demonstrated competence in the areas covered by the examination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provided by Section 501.2525(c)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502.252,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(c)(2) and (c)(3) do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licensed marriage and family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licensed marriage and family therapist in that state for at least the two years preceding the date the application is submitted.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502.2545(a),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council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executive council determines that the applicant possesses sufficient education and professional experience to receive a license without further examination;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executive council determines that the applicant possesses sufficient education and professional experience to receive a license without satisfying the examination requirements of this chapter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provided by Section 502.252(d)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503.302,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(a)(4)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professional counselor or as an art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professional counselor or an art therapist in that state for at least the two years preceding the date the application is submitted.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council may waive the requirement that an applicant pass the license examination required by Subsection (a)(5) if the applicant meets the criteria provided by Subsection (a-1). </w:t>
      </w:r>
      <w:r>
        <w:rPr>
          <w:u w:val="single"/>
        </w:rPr>
        <w:t xml:space="preserve"> </w:t>
      </w:r>
      <w:r>
        <w:rPr>
          <w:u w:val="single"/>
        </w:rPr>
        <w:t xml:space="preserve">The applicant must pass the jurisprudence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505.3575,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executive council may not require an applicant who is licensed in good standing in another state to pass a licensing examination conducted by the executive council under Section 505.354 if an applicant with substantially equivalent experience who resides in this state would not be required to take the licensing examination;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executive council may waive the requirement that an applicant not otherwise described by Subdivision (1) pass a licensing examination conducted by the executive council under Section 505.354 if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licensed in good standing in another state to independently practice as a social worker;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independently practiced as a licensed social worker in that state for at least the two years preceding the date the application is submitted; and</w:t>
      </w:r>
    </w:p>
    <w:p w:rsidR="003F3435" w:rsidRDefault="0032493E">
      <w:pPr>
        <w:spacing w:line="480" w:lineRule="auto"/>
        <w:ind w:firstLine="1440"/>
        <w:jc w:val="both"/>
      </w:pPr>
      <w:r>
        <w:rPr>
          <w:u w:val="single"/>
        </w:rPr>
        <w:t xml:space="preserve">(3)</w:t>
      </w:r>
      <w:r xml:space="preserve">
        <w:t> </w:t>
      </w:r>
      <w:r xml:space="preserve">
        <w:t> </w:t>
      </w:r>
      <w:r>
        <w:t xml:space="preserve">the executive council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executive council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r>
        <w:rPr>
          <w:u w:val="single"/>
        </w:rPr>
        <w:t xml:space="preserve">, subject to Subsection (c)</w:t>
      </w:r>
      <w:r>
        <w:t xml:space="preserv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executive council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executive council credentials that the applicant obtained from a national accreditation organization and the executive council determines that the requirements to obtain the credentials are sufficient to minimize any risk to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satisfies the requirements of Subsection (a)(3)(A)(i)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social worker;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licensed social worker in that state for at least the two years preceding the date the application is submitted.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for a license submitted on or after the effective date of this Act. </w:t>
      </w:r>
      <w:r>
        <w:t xml:space="preserve"> </w:t>
      </w:r>
      <w:r>
        <w:t xml:space="preserve">An application for a license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