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87R3162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Button</w:t>
      </w:r>
      <w:r xml:space="preserve">
        <w:tab wTab="150" tlc="none" cTlc="0"/>
      </w:r>
      <w:r>
        <w:t xml:space="preserve">H.B.</w:t>
      </w:r>
      <w:r xml:space="preserve">
        <w:t> </w:t>
      </w:r>
      <w:r>
        <w:t xml:space="preserve">No.</w:t>
      </w:r>
      <w:r xml:space="preserve">
        <w:t> </w:t>
      </w:r>
      <w:r>
        <w:t xml:space="preserve">3629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a deferral or abatement of the collection of ad valorem taxes on the residence homestead of an elderly or disabled person or disabled veteran expires.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33.06, Tax Code, is amended by amending Subsections (b), (c), (c-1), and (f) to read as follows:</w:t>
      </w:r>
    </w:p>
    <w:p w:rsidR="003F3435" w:rsidRDefault="0032493E">
      <w:pPr>
        <w:spacing w:line="480" w:lineRule="auto"/>
        <w:ind w:firstLine="720"/>
        <w:jc w:val="both"/>
      </w:pPr>
      <w:r>
        <w:t xml:space="preserve">(b)</w:t>
      </w:r>
      <w:r xml:space="preserve">
        <w:t> </w:t>
      </w:r>
      <w:r xml:space="preserve">
        <w:t> </w:t>
      </w:r>
      <w:r>
        <w:t xml:space="preserve">To obtain a deferral, an individual must file with the chief appraiser for the appraisal district in which the property is located an affidavit stating the facts required to be established by Subsection (a). The chief appraiser shall notify each taxing unit participating in the district of the filing. After an affidavit is filed under this subsection, a taxing unit may not file suit to collect delinquent taxes on the property and the property may not be sold at a sale to foreclose the tax lien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w:t>
      </w:r>
    </w:p>
    <w:p w:rsidR="003F3435" w:rsidRDefault="0032493E">
      <w:pPr>
        <w:spacing w:line="480" w:lineRule="auto"/>
        <w:ind w:firstLine="720"/>
        <w:jc w:val="both"/>
      </w:pPr>
      <w:r>
        <w:t xml:space="preserve">(c)</w:t>
      </w:r>
      <w:r xml:space="preserve">
        <w:t> </w:t>
      </w:r>
      <w:r xml:space="preserve">
        <w:t> </w:t>
      </w:r>
      <w:r>
        <w:t xml:space="preserve">To obtain an abatement of a pending suit, the individual must file in the court in which suit is pending an affidavit stating the facts required to be established by Subsection (a). If no controverting affidavit is filed by the taxing unit filing suit or if, after a hearing, the court finds the individual is entitled to the deferral, the court shall abate the suit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The clerk of the court shall deliver a copy of the judgment abating the suit to the chief appraiser of each appraisal district that appraises the property.</w:t>
      </w:r>
    </w:p>
    <w:p w:rsidR="003F3435" w:rsidRDefault="0032493E">
      <w:pPr>
        <w:spacing w:line="480" w:lineRule="auto"/>
        <w:ind w:firstLine="720"/>
        <w:jc w:val="both"/>
      </w:pPr>
      <w:r>
        <w:t xml:space="preserve">(c-1)</w:t>
      </w:r>
      <w:r xml:space="preserve">
        <w:t> </w:t>
      </w:r>
      <w:r xml:space="preserve">
        <w:t> </w:t>
      </w:r>
      <w:r>
        <w:t xml:space="preserve">To obtain an abatement of a pending sale to foreclose the tax lien, the individual must deliver an affidavit stating the facts required to be established by Subsection (a) to the chief appraiser of each appraisal district that appraises the property, the collector for the taxing unit that requested the order of sale or the attorney representing that </w:t>
      </w:r>
      <w:r>
        <w:rPr>
          <w:u w:val="single"/>
        </w:rPr>
        <w:t xml:space="preserve">taxing</w:t>
      </w:r>
      <w:r>
        <w:t xml:space="preserve"> unit for the collection of delinquent taxes, and the officer charged with selling the property not later than the fifth day before the date of the sale. After an affidavit is delivered under this subsection, the property may not be sold at a tax sale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If property is sold in violation of this section, the property owner may file a motion to set aside the sale under the same cause number and in the same court as a judgment reference in the order of sale. The motion must be filed during the applicable redemption period as set forth in Section 34.21(a) or, if the property is bid off to a taxing entity, on or before the 180th day following the date the taxing unit's deed is filed of record, whichever is later. This right is not transferable to a third party.</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if an individual who qualifies for a deferral or abatement of collection of taxes on property as provided by this section dies, the deferral or abatement continues in effect until the 181st day after the date </w:t>
      </w:r>
      <w:r>
        <w:rPr>
          <w:u w:val="single"/>
        </w:rPr>
        <w:t xml:space="preserve">the collector for the taxing unit delivers a notice of delinquency of the taxes following the date</w:t>
      </w:r>
      <w:r>
        <w:t xml:space="preserve"> the surviving spouse of the individual no longer owns and occupies the property as a residence homestead if:</w:t>
      </w:r>
    </w:p>
    <w:p w:rsidR="003F3435" w:rsidRDefault="0032493E">
      <w:pPr>
        <w:spacing w:line="480" w:lineRule="auto"/>
        <w:ind w:firstLine="1440"/>
        <w:jc w:val="both"/>
      </w:pPr>
      <w:r>
        <w:t xml:space="preserve">(1)</w:t>
      </w:r>
      <w:r xml:space="preserve">
        <w:t> </w:t>
      </w:r>
      <w:r xml:space="preserve">
        <w:t> </w:t>
      </w:r>
      <w:r>
        <w:t xml:space="preserve">the property was the residence homestead of the deceased spouse when the deceased spouse died;</w:t>
      </w:r>
    </w:p>
    <w:p w:rsidR="003F3435" w:rsidRDefault="0032493E">
      <w:pPr>
        <w:spacing w:line="480" w:lineRule="auto"/>
        <w:ind w:firstLine="1440"/>
        <w:jc w:val="both"/>
      </w:pPr>
      <w:r>
        <w:t xml:space="preserve">(2)</w:t>
      </w:r>
      <w:r xml:space="preserve">
        <w:t> </w:t>
      </w:r>
      <w:r xml:space="preserve">
        <w:t> </w:t>
      </w:r>
      <w:r>
        <w:t xml:space="preserve">the surviving spouse was 55 years of age or older when the deceased spouse died; and</w:t>
      </w:r>
    </w:p>
    <w:p w:rsidR="003F3435" w:rsidRDefault="0032493E">
      <w:pPr>
        <w:spacing w:line="480" w:lineRule="auto"/>
        <w:ind w:firstLine="1440"/>
        <w:jc w:val="both"/>
      </w:pPr>
      <w:r>
        <w:t xml:space="preserve">(3)</w:t>
      </w:r>
      <w:r xml:space="preserve">
        <w:t> </w:t>
      </w:r>
      <w:r xml:space="preserve">
        <w:t> </w:t>
      </w:r>
      <w:r>
        <w:t xml:space="preserve">the property was the residence homestead of the surviving spouse when the deceased spouse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