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87R11264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3631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statewide standards for the provision of substance use and addiction treatment.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I, Title 4, Government Code, is amended by adding Chapter 542 to read as follows:</w:t>
      </w:r>
    </w:p>
    <w:p w:rsidR="003F3435" w:rsidRDefault="0032493E">
      <w:pPr>
        <w:spacing w:line="480" w:lineRule="auto"/>
        <w:jc w:val="center"/>
      </w:pPr>
      <w:r>
        <w:rPr>
          <w:u w:val="single"/>
        </w:rPr>
        <w:t xml:space="preserve">CHAPTER 542. SUBSTANCE USE AND ADDICTION TREATMENT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542.001.</w:t>
      </w:r>
      <w:r>
        <w:rPr>
          <w:u w:val="single"/>
        </w:rPr>
        <w:t xml:space="preserve"> </w:t>
      </w:r>
      <w:r>
        <w:rPr>
          <w:u w:val="single"/>
        </w:rPr>
        <w:t xml:space="preserve"> </w:t>
      </w:r>
      <w:r>
        <w:rPr>
          <w:u w:val="single"/>
        </w:rPr>
        <w:t xml:space="preserve">STANDARDS FOR SUBSTANCE USE AND ADDICTION TREATMENT.  In carrying out the commission's duties under law in relation to the provision of substance use and addiction treatment, including the designation of appropriate levels of care, the transfer or discharge of a patient, and the utilization management review of care and treatment provided to individuals suffering from a substance use, mental health, or co-occurring disorder, the commission shall endeavor to use and encourage the use of the most recently published standards on substance use and addiction treatment by the American Society of Addiction Medicine.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542.002.</w:t>
      </w:r>
      <w:r>
        <w:rPr>
          <w:u w:val="single"/>
        </w:rPr>
        <w:t xml:space="preserve"> </w:t>
      </w:r>
      <w:r>
        <w:rPr>
          <w:u w:val="single"/>
        </w:rPr>
        <w:t xml:space="preserve"> </w:t>
      </w:r>
      <w:r>
        <w:rPr>
          <w:u w:val="single"/>
        </w:rPr>
        <w:t xml:space="preserve">MEMORANDUM OF UNDERSTANDING.  To encourage the use of standards described by Section 542.001 by other state agencies and local governmental entities, the commission may adopt a memorandum of understanding with those agencies and entities to coordinate the use of and authorize the payment for services delivered in accordance with those standards.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