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87R22127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vehicle modification services provided under the vocational rehabilitation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352, Labor Code, is amended by adding Section 352.109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352.109.</w:t>
      </w:r>
      <w:r>
        <w:rPr>
          <w:u w:val="single"/>
        </w:rPr>
        <w:t xml:space="preserve"> </w:t>
      </w:r>
      <w:r>
        <w:rPr>
          <w:u w:val="single"/>
        </w:rPr>
        <w:t xml:space="preserve"> </w:t>
      </w:r>
      <w:r>
        <w:rPr>
          <w:u w:val="single"/>
        </w:rPr>
        <w:t xml:space="preserve">APPORTIONED VEHICLE MODIFICATION SERVICES.  (a) If, after a vehicle modification review is conducted, it is determined that a portion of an applicant's requested vehicle modifications is not safe,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applicant about the unsafe modification;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applicant's request, make a determination regarding whether the unsafe modification violates state or federal law or regulations and, if the commission determines that the unsafe  modification does not violate applicable state or federal law or regulations: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those modifications that were determined safe;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applicant to pay out-of-pocket for those modifications that were determined unsafe.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