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87R11591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Frullo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vehicle modification services provided under the vocational rehabilitation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352, Labor Code, is amended by adding Section 352.109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352.109.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APPORTIONED VEHICLE MODIFICATION SERVICES.  (a) If, after a vehicle modification review is conducted, it is determined that a portion of an applicant's requested vehicle modifications is not safe, the commission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 the applicant about the unsafe modification;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applicant's request, make a determination regarding whether the unsafe modification violates state or federal law and, if the commission determines that the unsafe  modification does not violate applicable state or federal law: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those modifications that were determined safe;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 the applicant to pay out-of-pocket for those modifications that were determined unsafe.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