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87R13346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3642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alcoholic beverages in areas annexed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251.72, Alcoholic Beverage Code, is amended to read as follows:</w:t>
      </w:r>
    </w:p>
    <w:p w:rsidR="003F3435" w:rsidRDefault="0032493E">
      <w:pPr>
        <w:spacing w:line="480" w:lineRule="auto"/>
        <w:ind w:firstLine="720"/>
        <w:jc w:val="both"/>
      </w:pPr>
      <w:r>
        <w:t xml:space="preserve">Sec.</w:t>
      </w:r>
      <w:r xml:space="preserve">
        <w:t> </w:t>
      </w:r>
      <w:r>
        <w:t xml:space="preserve">251.72.</w:t>
      </w:r>
      <w:r xml:space="preserve">
        <w:t> </w:t>
      </w:r>
      <w:r xml:space="preserve">
        <w:t> </w:t>
      </w:r>
      <w:r>
        <w:t xml:space="preserve">CHANGE OF STATUS.  Except as provided in Sections 251.725, 251.726, </w:t>
      </w:r>
      <w:r>
        <w:rPr>
          <w:u w:val="single"/>
        </w:rPr>
        <w:t xml:space="preserve">251.727,</w:t>
      </w:r>
      <w:r>
        <w:t xml:space="preserve"> 251.73, and 251.80,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501.035, Election Code, until that status is changed by a subsequent local option election in the same authorized voting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251, Alcoholic Beverage Code, is amended by adding Section 251.727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251.727.</w:t>
      </w:r>
      <w:r>
        <w:rPr>
          <w:u w:val="single"/>
        </w:rPr>
        <w:t xml:space="preserve"> </w:t>
      </w:r>
      <w:r>
        <w:rPr>
          <w:u w:val="single"/>
        </w:rPr>
        <w:t xml:space="preserve"> </w:t>
      </w:r>
      <w:r>
        <w:rPr>
          <w:u w:val="single"/>
        </w:rPr>
        <w:t xml:space="preserve">CHANGE OF STATUS FOR TERRITORY ANNEXED BY MUNICIPALITIES IN CERTAIN COUNTIES.  (a)  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municipal boundary located not more than 1.5 miles from an automobile racetrack with a seating capacity of more than 100,000;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1,000 and less than 3,000;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area annexed to a municipality to which this section applies automatically assumes the wet or dry status of that municipality on annexation.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area annexed by a municipality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