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Virtual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Education Code, is amended by adding Subchapter I to read as follows:</w:t>
      </w:r>
    </w:p>
    <w:p w:rsidR="003F3435" w:rsidRDefault="0032493E">
      <w:pPr>
        <w:spacing w:line="480" w:lineRule="auto"/>
        <w:jc w:val="center"/>
      </w:pPr>
      <w:r>
        <w:rPr>
          <w:u w:val="single"/>
        </w:rPr>
        <w:t xml:space="preserve">SUBCHAPTER I.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VIRTUAL EDUCATION.  (a)  The commission is established to develop and make recommendations regarding the delivery of virtual education in the public school system and state funding for virtual education under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13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The commission shall develop recommendations to address issues related to the delivery of and funding for virtual education, including alternative instructional delivery methods and alternative methods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contains commission recommendations for legislative action to improve the implementation of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48.4085.</w:t>
      </w:r>
      <w:r>
        <w:rPr>
          <w:u w:val="single"/>
        </w:rPr>
        <w:t xml:space="preserve"> </w:t>
      </w:r>
      <w:r>
        <w:rPr>
          <w:u w:val="single"/>
        </w:rPr>
        <w:t xml:space="preserve"> </w:t>
      </w:r>
      <w:r>
        <w:rPr>
          <w:u w:val="single"/>
        </w:rPr>
        <w:t xml:space="preserve">GIFTS, GRANTS, AND DONATIONS.  The agency may accept gifts, grants, and donations from any source to support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The commission is abolished and this subchapter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on Virtual Education, as created by Subchapter I, Chapter 48, Education Code, as added by this Act, is required to implement a provision of this Act only if the legislature appropriates money specifically for that purpose. </w:t>
      </w:r>
      <w:r>
        <w:t xml:space="preserve"> </w:t>
      </w:r>
      <w:r>
        <w:t xml:space="preserve">If the legislature does not appropriate money specifically for that purpose, the agency may, but is not required to, support the commission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3643 was passed by the House on April 29, 2021, by the following vote:</w:t>
      </w:r>
      <w:r xml:space="preserve">
        <w:t> </w:t>
      </w:r>
      <w:r xml:space="preserve">
        <w:t> </w:t>
      </w:r>
      <w:r>
        <w:t xml:space="preserve">Yeas 103, Nays 41, 1 present, not voting; and that the House concurred in Senate amendments to H.B. No. 3643 on May 28, 2021, by the following vote:</w:t>
      </w:r>
      <w:r xml:space="preserve">
        <w:t> </w:t>
      </w:r>
      <w:r xml:space="preserve">
        <w:t> </w:t>
      </w:r>
      <w:r>
        <w:t xml:space="preserve">Yeas 106, Nays 40,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3643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