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natural gas and electric services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NATURAL GAS FACILITIES AND ENTITIES.  (a) The commission shall collaborate with the Public Utility Commission of Texas to adopt rules to establish a process to designate certain natural gas facilities and entities associated with providing natural gas in this state as critical customers or critical gas suppliers during energy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criteria for designating persons who own or operate a facility under the jurisdiction of the commission under Section 81.051(a) or engage in an activity under the jurisdiction of the commission under Section 81.051(a) who must provide critical customer and critical gas supply information, as defined by the commission, to the entities described by Section 38.074(b)(1),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for the purposes of Subdivision (1), including natural gas production, processing, and transportation, related produced water handling and disposal facilities, and the delivery of natural gas to generators of electric energy.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NATURAL GAS FACILITIES AND ENTITIES.  (a) The commission shall collaborate with the Railroad Commission of Texas to adopt rules to establish a process to designate certain natural gas facilities and entities associated with providing natural gas in this state as critical during energy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independent organization certified under Section 39.151 for the ERCOT power region and each electric utility, municipally owned utility, and electric cooperative providing service in the ERCOT power region is provided with the information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prioritizing for load-shed purposes during an energy emergency the facilities and entities designated under Subsection (a);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an electric utility, municipally owned utility, or electric cooperative providing service in the ERCOT power region to prioritize power delivery and power restoration among the facilities and entities designated under Subsection (a) on the utility's or cooperative's systems, as circumstances require.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Public Utility Commission of Texas and Railroad Commission of Texas shall adopt rules required by Section 81.073, Natural Resources Code, and Section 38.074, Utilities Code, as added by this Act, not later than December 1, 2021.</w:t>
      </w:r>
    </w:p>
    <w:p w:rsidR="003F3435" w:rsidRDefault="0032493E">
      <w:pPr>
        <w:spacing w:line="480" w:lineRule="auto"/>
        <w:ind w:firstLine="720"/>
        <w:jc w:val="both"/>
      </w:pPr>
      <w:r>
        <w:t xml:space="preserve">(b)</w:t>
      </w:r>
      <w:r xml:space="preserve">
        <w:t> </w:t>
      </w:r>
      <w:r xml:space="preserve">
        <w:t> </w:t>
      </w:r>
      <w:r>
        <w:t xml:space="preserve">The Public Utility Commission of Texas shall provide a report to the legislature regarding the implementation by the Public Utility Commission of Texas of the designation and prioritization requirements in this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3648 was passed by the House on April 20, 2021, by the following vote:</w:t>
      </w:r>
      <w:r xml:space="preserve">
        <w:t> </w:t>
      </w:r>
      <w:r xml:space="preserve">
        <w:t> </w:t>
      </w:r>
      <w:r>
        <w:t xml:space="preserve">Yeas 144, Nays 0, 1 present, not voting; that the House refused to concur in Senate amendments to H.B. No. 3648 on May 24, 2021, and requested the appointment of a conference committee to consider the differences between the two houses; and that the House adopted the conference committee report on H.B. No. 3648 on May 29, 2021,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3648 was passed by the Senate, with amendments, on May 19,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3648 on May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