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matching private grants given to enhance additional research activities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that receives gifts or endowments from private sources in a state fiscal year for the purpose of enhancing research activities at the institution, including a gift or endowment for endowed chairs, professorships, facilities, equipment, program costs, graduate stipends or fellowships, or undergraduate research, is entitled to receive, out of funds appropriated for the purposes of the program for that fiscal year, a matching grant in an amount determined according to the following rates:</w:t>
      </w:r>
    </w:p>
    <w:p w:rsidR="003F3435" w:rsidRDefault="0032493E">
      <w:pPr>
        <w:spacing w:line="480" w:lineRule="auto"/>
        <w:ind w:firstLine="1440"/>
        <w:jc w:val="both"/>
      </w:pPr>
      <w:r>
        <w:t xml:space="preserve">(1)</w:t>
      </w:r>
      <w:r xml:space="preserve">
        <w:t> </w:t>
      </w:r>
      <w:r xml:space="preserve">
        <w:t> </w:t>
      </w:r>
      <w:r>
        <w:t xml:space="preserve">50 percent of the amount of the gifts and endowments, if the total amount of gifts and endowments is $100,000 or more but not more than $999,999;</w:t>
      </w:r>
    </w:p>
    <w:p w:rsidR="003F3435" w:rsidRDefault="0032493E">
      <w:pPr>
        <w:spacing w:line="480" w:lineRule="auto"/>
        <w:ind w:firstLine="1440"/>
        <w:jc w:val="both"/>
      </w:pPr>
      <w:r>
        <w:t xml:space="preserve">(2)</w:t>
      </w:r>
      <w:r xml:space="preserve">
        <w:t> </w:t>
      </w:r>
      <w:r xml:space="preserve">
        <w:t> </w:t>
      </w:r>
      <w:r>
        <w:t xml:space="preserve">75 percent of the amount of the gifts and endowments, if the total amount of gifts and endowments is $1 million or more but not more than $1,999,999; or</w:t>
      </w:r>
    </w:p>
    <w:p w:rsidR="003F3435" w:rsidRDefault="0032493E">
      <w:pPr>
        <w:spacing w:line="480" w:lineRule="auto"/>
        <w:ind w:firstLine="1440"/>
        <w:jc w:val="both"/>
      </w:pPr>
      <w:r>
        <w:t xml:space="preserve">(3)</w:t>
      </w:r>
      <w:r xml:space="preserve">
        <w:t> </w:t>
      </w:r>
      <w:r xml:space="preserve">
        <w:t> </w:t>
      </w:r>
      <w:r>
        <w:t xml:space="preserve">100 percent of the amount of the gifts and endowments,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total amount of gifts and endowments is $2 million or more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research activities to be enhanced include, at a level determined by coordinating board rule, research occurring in any of the following areas: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epidemiology;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methods of diagnostic medical testing;</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methods of medical treatment;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development or delivery of medical assistive technology or devices;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development or delivery of pharmaceuticals or vaccines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