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87R10789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under the public information law of certain information regarding a business that applies for state or federal disaster recovery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552.160(b),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following information maintained by a governmental body is confidential:</w:t>
      </w:r>
    </w:p>
    <w:p w:rsidR="003F3435" w:rsidRDefault="0032493E">
      <w:pPr>
        <w:spacing w:line="480" w:lineRule="auto"/>
        <w:ind w:firstLine="1440"/>
        <w:jc w:val="both"/>
      </w:pPr>
      <w:r>
        <w:t xml:space="preserve">(1)</w:t>
      </w:r>
      <w:r xml:space="preserve">
        <w:t> </w:t>
      </w:r>
      <w:r xml:space="preserve">
        <w:t> </w:t>
      </w:r>
      <w:r>
        <w:t xml:space="preserve">the name, social security number, house number, street name, and telephone number of an individual or household that applies for state or federal disaster recovery funds;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name, tax identification number, address, and telephone number of a business entity or an owner of a business entity that applies for state or federal disaster recovery funds;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any other information the disclosure of which would identify or tend to identify a person or household that applies for state or federal disaster recovery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information written, produced, collected, assembled, or maintained before, on, or after the effective date of this Act, but does not apply to a request for public information received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