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87R10328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designation by the purchaser of a motor vehicle of the county in which a motor vehicle dealer shall apply for the registration of and title for certain vehicles sold by the dealer;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501.0234, Transportation Code, is amended by amending Subsection (e) and adding Subsections (e-1) and (e-2) to read as follows:</w:t>
      </w:r>
    </w:p>
    <w:p w:rsidR="003F3435" w:rsidRDefault="0032493E">
      <w:pPr>
        <w:spacing w:line="480" w:lineRule="auto"/>
        <w:ind w:firstLine="720"/>
        <w:jc w:val="both"/>
      </w:pPr>
      <w:r>
        <w:t xml:space="preserve">(e)</w:t>
      </w:r>
      <w:r xml:space="preserve">
        <w:t> </w:t>
      </w:r>
      <w:r xml:space="preserve">
        <w:t> </w:t>
      </w:r>
      <w:r>
        <w:t xml:space="preserve">The department shall develop a form [</w:t>
      </w:r>
      <w:r>
        <w:rPr>
          <w:strike/>
        </w:rPr>
        <w:t xml:space="preserve">or electronic process</w:t>
      </w:r>
      <w:r>
        <w:t xml:space="preserve">] in which the purchaser of a motor vehicle shall designate the purchaser's choice as set out in Section 501.023 as the recipient of all taxes, fees, and other revenue collected as a result of the transaction, which the tax assessor-collector is authorized by law to retain.</w:t>
      </w:r>
    </w:p>
    <w:p w:rsidR="003F3435" w:rsidRDefault="0032493E">
      <w:pPr>
        <w:spacing w:line="480" w:lineRule="auto"/>
        <w:ind w:firstLine="720"/>
        <w:jc w:val="both"/>
      </w:pPr>
      <w:r>
        <w:rPr>
          <w:u w:val="single"/>
        </w:rPr>
        <w:t xml:space="preserve">(e-1)</w:t>
      </w:r>
      <w:r xml:space="preserve">
        <w:t> </w:t>
      </w:r>
      <w:r xml:space="preserve">
        <w:t> </w:t>
      </w:r>
      <w:r>
        <w:t xml:space="preserve">A seller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affirmatively present and explain the</w:t>
      </w:r>
      <w:r>
        <w:t xml:space="preserve"> [</w:t>
      </w:r>
      <w:r>
        <w:rPr>
          <w:strike/>
        </w:rPr>
        <w:t xml:space="preserve">make that</w:t>
      </w:r>
      <w:r>
        <w:t xml:space="preserve">] form [</w:t>
      </w:r>
      <w:r>
        <w:rPr>
          <w:strike/>
        </w:rPr>
        <w:t xml:space="preserve">or electronic process available</w:t>
      </w:r>
      <w:r>
        <w:t xml:space="preserve">] to the purchaser of a vehicle at the time of purchase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the purchaser's designation and signature on the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the form for at least one year after the date of purchase</w:t>
      </w:r>
      <w:r>
        <w:t xml:space="preserv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seller who violates Subsection (e-1) is subject to a civil penalty of $5,000 for each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 Transportation Code, as amended by this Act, applies only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