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87R11412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3667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the School Psychologists Shortage Task Force.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DEFINITIONS.  In this Act: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"Commissioner" means the commissioner of education.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"Task force" means the School Psychologists Shortage Task Force established under Section 2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SCHOOL PSYCHOLOGISTS SHORTAGE TASK FORCE.  (a) The commissioner shall establish the School Psychologists Shortage Task Force to study issues related to the shortage of school psychologists.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members of the task force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three members appointed by the lieutenant governor as follows: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two members of the senate;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licensed specialist in school psychology;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three members appointed by the speaker of the house of representatives as follows: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two members of the house of representatives;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licensed specialist in school psychology;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one member of the State Board of Education appointed by the commissioner.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Texas Education Agency shall provide administrative support to the task force.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commissioner shall appoint a member of the task force to serve as the presiding officer.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task force shall meet at the call of the presiding officer.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task force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conduct a study on the issues related to the shortage of school psychologists among school districts, including supply and demand issues for school-based psychological services among districts;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recommendations for increasing the presence of school psychologists in school districts and increasing the use of school-based psychological services, as needed.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REPORT.  Not later than December 31, 2022, the task force shall submit a report to the governor and the legislature that includes the task force's findings and recommendations under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ABOLITION OF TASK FORCE; EXPIRATION. The task force is abolished and this Act expires January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 </w:t>
      </w:r>
      <w:r>
        <w:t xml:space="preserve"> 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