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3679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reimbursement of durable medical equipment providers participating in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533.005, Government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addition to the requirements specified by Subsection (a) and notwithstanding any other law, a contract described by that subsection must require the managed care organization to reimburse a specialty provider of durable medical equipment, services, and supplies at a rate that is at least equal to 95 percent of the rate paid under the Medicaid fee schedule.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Health and Human Services Commission shall, in a contract between the commission and a managed care organization under Chapter 533, Government Code, that is entered into or renewed on or after the effective date of this Act, require that the managed care organization comply with Section 533.005(i), Government Code, as added by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seek to amend contracts entered into with managed care organizations under Chapter 533, Government Code, before the effective date of this Act to require those managed care organizations to comply with Section 533.005(i), Government Code, as added by this Act. To the extent of a conflict between Section 533.005(i), Government Code, as added by this Act, and a provision of a contract with a managed care organization entered into before the effective date of this Act, the contract provision prevails.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