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87R9310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3682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municipal hotel occupancy tax revenue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351.101, Tax Code, is amended by adding Subsection (s) to read as follows: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In addition to other authorized uses, a municipality that has a population of 70,000 or more but less than 90,000 and is located in two counties, one of which has a population of four million or more and the other of which has a population of less than 50,000, may use revenue from the municipal hotel occupancy tax for the promotion of tourism by the enhancement and upgrading of an existing sports facility or field as specified by Subsection (a)(7), provided that the requirements of Subsections (a)(7)(A) and (C) and Section 351.1076 are met.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