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w:t xml:space="preserve"> (Senate Sponsor</w:t>
      </w:r>
      <w:r xml:space="preserve">
        <w:t> </w:t>
      </w:r>
      <w:r>
        <w:t xml:space="preserve">-</w:t>
      </w:r>
      <w:r xml:space="preserve">
        <w:t> </w:t>
      </w:r>
      <w:r>
        <w:t xml:space="preserve">Alvarado)</w:t>
      </w:r>
      <w:r xml:space="preserve">
        <w:tab wTab="150" tlc="none" cTlc="0"/>
      </w:r>
      <w:r>
        <w:t xml:space="preserve">H.B.</w:t>
      </w:r>
      <w:r xml:space="preserve">
        <w:t> </w:t>
      </w:r>
      <w:r>
        <w:t xml:space="preserve">No.</w:t>
      </w:r>
      <w:r xml:space="preserve">
        <w:t> </w:t>
      </w:r>
      <w:r>
        <w:t xml:space="preserve">3682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12,</w:t>
      </w:r>
      <w:r xml:space="preserve">
        <w:t> </w:t>
      </w:r>
      <w:r>
        <w:t xml:space="preserve">2021, read first time and referred to Committee on Natural Resources &amp; Economic Development;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municipal hotel occupancy tax revenue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351.101, Tax Code, is amended by adding Subsection (s) to read as follows: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In addition to other authorized uses, a municipality that has a population of 70,000 or more but less than 90,000 and is located in two counties, one of which has a population of four million or more and the other of which has a population of less than 50,000, may use revenue from the municipal hotel occupancy tax for the promotion of tourism by the enhancement and upgrading of an existing sports facility or field as specified by Subsection (a)(7), provided that the requirements of Subsections (a)(7)(A) and (C) and Section 351.1076 are met.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