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of Maverick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standards for water management in certain areas.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2, Water Code, is amended by adding Subtitle G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SUBTITLE G. MISCELLANEOUS PROVISIONS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39. STANDARDS FOR SURFACE WATER AND GROUNDWATER MANAGEMENT IN CERTAIN AREAS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39.0101.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STANDARDS FOR SURFACE WATER AND GROUNDWATER MANAGEMENT IN CERTAIN AREAS.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to a county: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bordering the Rio Grande;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overlying the Edwards-Trinity Aquifer;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population greater than 40,000.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Water Development Board shall adopt standards  for water management by a conservation and reclamation district in a county to which this section applies.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Standards adopted under this section must address: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groundwater management;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river and spring flow, including flow requirements for the: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Devils River;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Pecos River;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San Felipe Springs;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Lake Amistad.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