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87R8942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3684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windstorm insurance legislative funding and funding structure oversight board and to studies relating to the Texas Windstorm Insurance Association and the Fair Access to Insurance Requirements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2210.664(b), Insurance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November 15, </w:t>
      </w:r>
      <w:r>
        <w:rPr>
          <w:u w:val="single"/>
        </w:rPr>
        <w:t xml:space="preserve">2022</w:t>
      </w:r>
      <w:r>
        <w:t xml:space="preserve"> [</w:t>
      </w:r>
      <w:r>
        <w:rPr>
          <w:strike/>
        </w:rPr>
        <w:t xml:space="preserve">2020</w:t>
      </w:r>
      <w:r>
        <w:t xml:space="preserve">], the board shall deliver </w:t>
      </w:r>
      <w:r>
        <w:rPr>
          <w:u w:val="single"/>
        </w:rPr>
        <w:t xml:space="preserve">a</w:t>
      </w:r>
      <w:r>
        <w:t xml:space="preserve"> [</w:t>
      </w:r>
      <w:r>
        <w:rPr>
          <w:strike/>
        </w:rPr>
        <w:t xml:space="preserve">the</w:t>
      </w:r>
      <w:r>
        <w:t xml:space="preserve">] report prepared under Subsection (a)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 and</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2210.665, Insurance Code, is amended to read as follows:</w:t>
      </w:r>
    </w:p>
    <w:p w:rsidR="003F3435" w:rsidRDefault="0032493E">
      <w:pPr>
        <w:spacing w:line="480" w:lineRule="auto"/>
        <w:ind w:firstLine="720"/>
        <w:jc w:val="both"/>
      </w:pPr>
      <w:r>
        <w:t xml:space="preserve">Sec.</w:t>
      </w:r>
      <w:r xml:space="preserve">
        <w:t> </w:t>
      </w:r>
      <w:r>
        <w:t xml:space="preserve">2210.665.</w:t>
      </w:r>
      <w:r xml:space="preserve">
        <w:t> </w:t>
      </w:r>
      <w:r xml:space="preserve">
        <w:t> </w:t>
      </w:r>
      <w:r>
        <w:t xml:space="preserve">EXPIRATION.  This subchapter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14(c) and (d), Chapter 790 (H.B. 1900), Acts of the 86th Legislature, Regular Session, 2019, are amended to read as follows:</w:t>
      </w:r>
    </w:p>
    <w:p w:rsidR="003F3435" w:rsidRDefault="0032493E">
      <w:pPr>
        <w:spacing w:line="480" w:lineRule="auto"/>
        <w:ind w:firstLine="720"/>
        <w:jc w:val="both"/>
      </w:pPr>
      <w:r>
        <w:t xml:space="preserve">(c)</w:t>
      </w:r>
      <w:r xml:space="preserve">
        <w:t> </w:t>
      </w:r>
      <w:r xml:space="preserve">
        <w:t> </w:t>
      </w:r>
      <w:r>
        <w:t xml:space="preserve">Not later than January 1, </w:t>
      </w:r>
      <w:r>
        <w:rPr>
          <w:u w:val="single"/>
        </w:rPr>
        <w:t xml:space="preserve">2023</w:t>
      </w:r>
      <w:r>
        <w:t xml:space="preserve"> [</w:t>
      </w:r>
      <w:r>
        <w:rPr>
          <w:strike/>
        </w:rPr>
        <w:t xml:space="preserve">2021</w:t>
      </w:r>
      <w:r>
        <w:t xml:space="preserve">], the windstorm insurance legislative oversight board shall submit to the governor, the lieutenant governor, the speaker of the house of representatives, and the Texas Department of Insurance a written report of  </w:t>
      </w:r>
      <w:r>
        <w:rPr>
          <w:u w:val="single"/>
        </w:rPr>
        <w:t xml:space="preserve">a</w:t>
      </w:r>
      <w:r>
        <w:t xml:space="preserve"> [</w:t>
      </w:r>
      <w:r>
        <w:rPr>
          <w:strike/>
        </w:rPr>
        <w:t xml:space="preserve">the</w:t>
      </w:r>
      <w:r>
        <w:t xml:space="preserve">] study conducted under this section.  The report must include the findings and legislative recommendations of the board.</w:t>
      </w:r>
    </w:p>
    <w:p w:rsidR="003F3435" w:rsidRDefault="0032493E">
      <w:pPr>
        <w:spacing w:line="480" w:lineRule="auto"/>
        <w:ind w:firstLine="720"/>
        <w:jc w:val="both"/>
      </w:pPr>
      <w:r>
        <w:t xml:space="preserve">(d)</w:t>
      </w:r>
      <w:r xml:space="preserve">
        <w:t> </w:t>
      </w:r>
      <w:r xml:space="preserve">
        <w:t> </w:t>
      </w:r>
      <w:r>
        <w:t xml:space="preserve">This section expires January 1, </w:t>
      </w:r>
      <w:r>
        <w:rPr>
          <w:u w:val="single"/>
        </w:rPr>
        <w:t xml:space="preserve">2024</w:t>
      </w:r>
      <w:r>
        <w:t xml:space="preserve"> [</w:t>
      </w:r>
      <w:r>
        <w:rPr>
          <w:strike/>
        </w:rPr>
        <w:t xml:space="preserve">2022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