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87R8234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lobbying contract information by political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556, Government Code, is amended by adding Section 556.0056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556.0056.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CERTAIN LOBBYING CONTRACT INFORMATION.  (a)  A political subdivision shall prominently display on the political subdivision's Internet website the following information regarding contracts for services executed by the political subdivision that would require a person to register as a lobbyist under Chapter 305: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execution dates;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contract duration terms, including any extension options;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effective dates;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final amount of money the political subdivision paid in the previous fiscal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identity of all parties to the contract;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identity of all subcontractors in the contract;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legislative agenda of the political subdivision.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lieu of displaying the items described by Subsections (a)(1)-(6) regarding a contract for services that would require a person to register as a lobbyist under Chapter 305, a political subdivision may post on the political subdivision's Internet website the contract for those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required to be displayed on a political subdivision's Internet website under this section is public information subject to disclosure under Chapter 552.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