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Anderson, Guillen, Morales of Maverick,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Lozano, González of El Paso,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identity of certain landowners who participate in a State Soil and Water Conservation Board program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201, Agriculture Code, is amended by adding Section 201.007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PARTICIPANTS IN INVASIVE SPECIES ERADICATION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information written, produced, collected,  assembled, or maintained by the state board that would identify a landowner who participates in a state board program to manage or eradicate an invasive species is confidential and not subject to 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disclosure of the identity of a person who receives a direct payment of state money under a contract with the state board to manage or eradicate an invasive species.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