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87R11577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3690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staggering of terms of aldermen on the governing body of a Type A general-law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22.034,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aldermen of the governing body of a municipality  are not serving staggered terms of office as provided by Subsection (b), the governing body by majority vote may provide for the staggering of terms by requiring the drawing of lots by the aldermen.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