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3690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 8,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staggering of terms of aldermen on the governing body of a Type A general-law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22.034,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aldermen of the governing body of a municipality  are not serving staggered terms of office as provided by Subsection (b), the governing body by majority vote may provide for the staggering of terms by requiring the drawing of lots by the aldermen.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