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87R9159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3694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appraised value of certain rapidly appreciating residence homesteads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w:t>
      </w:r>
      <w:r>
        <w:rPr>
          <w:u w:val="single"/>
        </w:rPr>
        <w:t xml:space="preserve">or 23.231</w:t>
      </w:r>
      <w:r>
        <w:t xml:space="preserve"> applies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RAPIDLY APPRECIATING RESIDENCE HOMESTEAD.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"Disaster recovery program" means the disaster recovery program administered by the General Land Office or by a political subdivision of this state that is funded with community development block grant disaster recovery money authorized by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improvement" means an improvement to a rapidly appreciating residence homestead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"Rapidly appreciating residence homestead" means real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is a residence homestead;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which the owner was granted a residence homestead exemption in the 2017, 2018, 2019, 2020, 2021, and 2022 tax years;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market value for the 2022 tax year is at least 250 percent higher than the market value of the property for the 2017 tax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the requirements of Sections 23.23 and 25.18, and regardless of whether the appraisal office has appraised the property and determined the market value of the property for the tax year, an appraisal office may increase the appraised value of a rapidly appreciating residence homestead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appraised value of the property for the 2017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appraising a rapidly appreciating residence homestead,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(b)(2).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limitation provided by Subsection (b) expires on January 1 of the first tax year that neither the owner of the property when the limitation took effect nor the owner's spouse or surviving spouse qualifies for an exemption under Section 11.13.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property appraised under Subchapter C, D, E, F, or 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(b), and except as provided by Subdivision (2), an improvement to property that would otherwise constitute a new improvement is not treated as a new improvement if the improvement is a replacement structure for a structure that was rendered uninhabitable or unusable by a casualty or by wind or water damage.  For purposes of appraising the property under Subsection (b)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Subsection (f)(2), and only to the extent necessary to satisfy the requirements of the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25.19(b), Tax Code, as effective January 1, 2022, is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a limitation on appraised value adopted under Section 23.231;</w:t>
      </w:r>
    </w:p>
    <w:p w:rsidR="003F3435" w:rsidRDefault="0032493E">
      <w:pPr>
        <w:spacing w:line="480" w:lineRule="auto"/>
        <w:ind w:firstLine="1440"/>
        <w:jc w:val="both"/>
      </w:pPr>
      <w:r>
        <w:t xml:space="preserve">(5)</w:t>
      </w:r>
      <w:r xml:space="preserve">
        <w:t> </w:t>
      </w:r>
      <w:r xml:space="preserve">
        <w:t> </w:t>
      </w:r>
      <w:r>
        <w:t xml:space="preserve">in italic typeface, the following statement:  "The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(6)</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(7)</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(8)</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25.19(g), Tax Code, is amended to read as follows:</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 statement of whether the property qualifies for a limitation on appraised value adopted under Section 23.231;</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a limitation on appraised value adopted under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the appraisal of residence homesteads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2022, but only if the constitutional amendment proposed by the 87th Legislature, Regular Session, 2021, to authorize the legislature to limit the maximum appraised value of certain rapidly appreciating residence homesteads for ad valorem tax purposes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