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87R10079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policy regarding the prevention of heat stress.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38.0211.</w:t>
      </w:r>
      <w:r>
        <w:rPr>
          <w:u w:val="single"/>
        </w:rPr>
        <w:t xml:space="preserve"> </w:t>
      </w:r>
      <w:r>
        <w:rPr>
          <w:u w:val="single"/>
        </w:rPr>
        <w:t xml:space="preserve"> </w:t>
      </w:r>
      <w:r>
        <w:rPr>
          <w:u w:val="single"/>
        </w:rPr>
        <w:t xml:space="preserve">HEAT STRESS PREVENTION POLICY.  (a) </w:t>
      </w:r>
      <w:r>
        <w:rPr>
          <w:u w:val="single"/>
        </w:rPr>
        <w:t xml:space="preserve"> </w:t>
      </w:r>
      <w:r>
        <w:rPr>
          <w:u w:val="single"/>
        </w:rPr>
        <w:t xml:space="preserve">In this section, "wet bulb globe temperature" means a comprehensive measurement of environmental conditions that accounts for ambient temperature, relative humidity, wind, and solar radiation.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public school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extracurricular activity sponsored or sanctioned by the University Interscholastic League and conducted outdoors, including practice, training, participation, and competition.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and open-enrollment charter school shall adopt and implement a policy regarding heat safety for students participating in extracurricular activities conducted outdoors. </w:t>
      </w:r>
      <w:r>
        <w:rPr>
          <w:u w:val="single"/>
        </w:rPr>
        <w:t xml:space="preserve"> </w:t>
      </w:r>
      <w:r>
        <w:rPr>
          <w:u w:val="single"/>
        </w:rPr>
        <w:t xml:space="preserve">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criteria for determining satisfactory or unsatisfactory conditions for outdoor activity based on wet bulb globe temperature levels;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each school to monitor the risk of heat stress before an outdoor activity begins and determine whether conditions are satisfactory or unsatisfactory in accordance with criteria established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school to modify or suspend outdoor activity as necessary if conditions are determined to be unsatisfactory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any immunity from liability of a school district or open-enrollment charter school or of district or charter school officers or employees;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liability for a cause of action against a school district or open-enrollment charter school or against district or charter school officers or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