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3708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Small Business Disaster Recovery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EE to read as follows:</w:t>
      </w:r>
    </w:p>
    <w:p w:rsidR="003F3435" w:rsidRDefault="0032493E">
      <w:pPr>
        <w:spacing w:line="480" w:lineRule="auto"/>
        <w:jc w:val="center"/>
      </w:pPr>
      <w:r>
        <w:rPr>
          <w:u w:val="single"/>
        </w:rPr>
        <w:t xml:space="preserve">SUBCHAPTER EE. SMALL BUSINESS DISASTER RECOVERY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declaration" means a declaration by the governor of a state of disaster under Section 418.014.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director" means the executive director of the Texas Economic Development and Tourism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 program" means the Small Business Disaster Recovery Grant Program established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"Historically underutilized business" has the meaning assigned by Section 2161.001.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"Small business" has the meaning assigned by Section 481.401.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481.602.</w:t>
      </w:r>
      <w:r>
        <w:rPr>
          <w:u w:val="single"/>
        </w:rPr>
        <w:t xml:space="preserve"> </w:t>
      </w:r>
      <w:r>
        <w:rPr>
          <w:u w:val="single"/>
        </w:rPr>
        <w:t xml:space="preserve"> </w:t>
      </w:r>
      <w:r>
        <w:rPr>
          <w:u w:val="single"/>
        </w:rPr>
        <w:t xml:space="preserve">ESTABLISHMENT OF GRANT PROGRAM.  The office shall establish and administer the Small Business Disaster Recovery Grant Program to assist small businesses located in an area subject to a disaster declaration in recovering from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481.603.</w:t>
      </w:r>
      <w:r>
        <w:rPr>
          <w:u w:val="single"/>
        </w:rPr>
        <w:t xml:space="preserve"> </w:t>
      </w:r>
      <w:r>
        <w:rPr>
          <w:u w:val="single"/>
        </w:rPr>
        <w:t xml:space="preserve"> </w:t>
      </w:r>
      <w:r>
        <w:rPr>
          <w:u w:val="single"/>
        </w:rPr>
        <w:t xml:space="preserve">SMALL BUSINESS DISASTER RECOVERY GRANT PROGRAM ACCOUNT.  (a) The Small Business Disaster Recovery Grant Program account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deposit and investment of money in the account;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other donations contributed to the office for the grant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spent only to make grants to small businesses under the grant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the office may spend money in the account to provide assistance to nonprofit organizations that serve small and historically underutilized businesses for the purpose of assisting the businesses in applying for grants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481.604.</w:t>
      </w:r>
      <w:r>
        <w:rPr>
          <w:u w:val="single"/>
        </w:rPr>
        <w:t xml:space="preserve"> </w:t>
      </w:r>
      <w:r>
        <w:rPr>
          <w:u w:val="single"/>
        </w:rPr>
        <w:t xml:space="preserve"> </w:t>
      </w:r>
      <w:r>
        <w:rPr>
          <w:u w:val="single"/>
        </w:rPr>
        <w:t xml:space="preserve">ELIGIBILITY AND PRIORITY FOR GRANT.  (a) To be eligible to receive a grant under this subchapter, a small business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organized under the laws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good standing under the laws of this state; 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by rule develop a method for prioritizing among small businesses for receipt of grants under this subchapter. In developing the prioritization method, the office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businesses that are ineligible for or have not directly received federal grant assistance related to the disaster declaration;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grants to small businesses in the following order of priority: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small businesses with fewer than 10 employees;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small businesses with more than 10 but fewer than 50 employees;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small businesses with 50 or more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481.605.</w:t>
      </w:r>
      <w:r>
        <w:rPr>
          <w:u w:val="single"/>
        </w:rPr>
        <w:t xml:space="preserve"> </w:t>
      </w:r>
      <w:r>
        <w:rPr>
          <w:u w:val="single"/>
        </w:rPr>
        <w:t xml:space="preserve"> </w:t>
      </w:r>
      <w:r>
        <w:rPr>
          <w:u w:val="single"/>
        </w:rPr>
        <w:t xml:space="preserve">USES OF GRANT.  A small business may use a grant received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pay the small business's payroll costs, including costs associated with rehiring laid off employees;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legitimate business purpose identified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481.606.</w:t>
      </w:r>
      <w:r>
        <w:rPr>
          <w:u w:val="single"/>
        </w:rPr>
        <w:t xml:space="preserve"> </w:t>
      </w:r>
      <w:r>
        <w:rPr>
          <w:u w:val="single"/>
        </w:rPr>
        <w:t xml:space="preserve"> </w:t>
      </w:r>
      <w:r>
        <w:rPr>
          <w:u w:val="single"/>
        </w:rPr>
        <w:t xml:space="preserve">APPLICATION FOR GRANT.  (a) The office shall develop and implement an application process for a small business to receive a grant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publish information regarding applying for a grant under this subchapter to the office's Internet website in at least English and Spanish.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481.607.</w:t>
      </w:r>
      <w:r>
        <w:rPr>
          <w:u w:val="single"/>
        </w:rPr>
        <w:t xml:space="preserve"> </w:t>
      </w:r>
      <w:r>
        <w:rPr>
          <w:u w:val="single"/>
        </w:rPr>
        <w:t xml:space="preserve"> </w:t>
      </w:r>
      <w:r>
        <w:rPr>
          <w:u w:val="single"/>
        </w:rPr>
        <w:t xml:space="preserve">GRANT PROGRAM RULES.  (a) The executive director shall 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post the rules on the office's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481.608.</w:t>
      </w:r>
      <w:r>
        <w:rPr>
          <w:u w:val="single"/>
        </w:rPr>
        <w:t xml:space="preserve"> </w:t>
      </w:r>
      <w:r>
        <w:rPr>
          <w:u w:val="single"/>
        </w:rPr>
        <w:t xml:space="preserve"> </w:t>
      </w:r>
      <w:r>
        <w:rPr>
          <w:u w:val="single"/>
        </w:rPr>
        <w:t xml:space="preserve">REPORT.  Not later than December 1 of each even-numbered year, the office shall prepare and submit to the governor, the lieutenant governor, and each member of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dollar amount of grants provided under this subchapter during the two-year period preceding that date;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the small businesses that received a grant under this subchapter during the two-year period preceding that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