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87R22498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Oliverson, Walle</w:t>
      </w:r>
      <w:r xml:space="preserve">
        <w:tab wTab="150" tlc="none" cTlc="0"/>
      </w:r>
      <w:r>
        <w:t xml:space="preserve">H.B.</w:t>
      </w:r>
      <w:r xml:space="preserve">
        <w:t> </w:t>
      </w:r>
      <w:r>
        <w:t xml:space="preserve">No.</w:t>
      </w:r>
      <w:r xml:space="preserve">
        <w:t> </w:t>
      </w:r>
      <w:r>
        <w:t xml:space="preserve">3711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3711:</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3711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including medically fragile individuals in the Texas Division of Emergency Management's emergency assistance registry for wellness checks during certain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WELLNESS CHECKS FOR MEDICALLY FRAGILE INDIVIDUALS DURING CERTAIN EMERGENCIES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assistance registry" means the registry maintained by the division that provides local emergency planners and emergency responders with additional information on the needs of certain individuals in their communities.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"First responder" means any federal, state, or local personnel who may respond to a disaster,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health and public safety personnel;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commissioned law enforcement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fire protection personnel, including volunteer firefighters;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emergency medical services personnel, including hospital emergency facility staff;</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member of the National Guard;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member of the Texas State Guard.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"Medically fragile individual" means any individual who, during a time of disaster or emergency, would be particularly vulnerable because of a medical condition, including individuals: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Alzheimer's disease and other related disorders;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dialysis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who are diagnosed with a debilitating chronic illness;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who are dependent on oxygen treatment;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who have medical conditions that require 24-hour supervision from a skilled nurse.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MEDICALLY FRAGILE INDIVIDUAL DESIGNATION.  The division shall develop a process for designating individuals who are included in the emergency assistance registry as medically fragile for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EMERGENCY ASSISTANCE REGISTRY ACCESS.  The division shall authorize the following persons to access the emergency assistance registry to assist medically fragile individuals during an event described by Section 418.305: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first responders;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governments;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health departments.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REQUIRED WELLNESS CHECK.  The division shall collaborate with the persons authorized to access the emergency assistance registry under Section 418.303 and with applicable municipalities and counties to ensure that a wellness check is conducted on each medically fragile individual listed in the emergency assistance registry and located in an area that experiences an event described by Section 418.305 to ensure the individual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continuity of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 continue using electrically powered medical equipment,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EVENTS REQUIRING WELLNESS CHECKS.  (a) The division, in collaboration with the commission and the department, shall adopt rules regarding which events require a wellness check,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extended power, water, or gas outage;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of disaster declared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event considered necessary by the commission, the department, or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more than one disaster is declared for the same event, or the same event qualifies as an event requiring a wellness check for multiple reasons under Subsection (a), only one wellness check is required to be conducted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REQUIREMENTS FOR WELLNESS CHECK.  (a) The division, in collaboration with the commission and the department, by rule shall develop minimum standards for conducting wellness checks. Each county and municipality shall adopt procedures for conducting wellness checks in compliance with the minimum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wellness check on a medically fragile individual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automated telephone call and text to the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personalized telephone call to the individual;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individual is unresponsive to a telephone call under Paragraph (B), an in-person wellness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conducted in accordance with the minimum standards prescribed by division rule and the procedures of the applicable county or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wellness check must be conducted as soon as practicable but not later than 24 hours after the event requiring a wellness check occurs.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418.307.</w:t>
      </w:r>
      <w:r>
        <w:rPr>
          <w:u w:val="single"/>
        </w:rPr>
        <w:t xml:space="preserve"> </w:t>
      </w:r>
      <w:r>
        <w:rPr>
          <w:u w:val="single"/>
        </w:rPr>
        <w:t xml:space="preserve"> </w:t>
      </w:r>
      <w:r>
        <w:rPr>
          <w:u w:val="single"/>
        </w:rPr>
        <w:t xml:space="preserve">RULES.  The division, in collaboration with the commission and the department, shall adopt rules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Division of Emergency Management shall adopt the rules necessary to implement Subchapter J, Chapter 418,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