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87R11999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3711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a registry of medically fragile individuals for wellness checks during certain emergencies.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H, Title 2, Health and Safety Code, is amended by adding Chapter 174 to read as follows:</w:t>
      </w:r>
    </w:p>
    <w:p w:rsidR="003F3435" w:rsidRDefault="0032493E">
      <w:pPr>
        <w:spacing w:line="480" w:lineRule="auto"/>
        <w:jc w:val="center"/>
      </w:pPr>
      <w:r>
        <w:rPr>
          <w:u w:val="single"/>
        </w:rPr>
        <w:t xml:space="preserve">CHAPTER 174. WELLNESS CHECKS FOR MEDICALLY FRAGILE INDIVIDUALS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"Division" means the Texas Division of Emergency Management.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"First responder" means any federal, state, or local personnel who may respond to a disaster,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public health and public safety personnel;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commissioned law enforcement personnel;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fire protection personnel, including volunteer firefighters;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emergency medical services personnel, including hospital emergency facility staff;</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member of the National Guard;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member of the Texas State Guard.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"Individual's legally authorized representative"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guardian of a medically fragile individual who has been adjudicated incompetent to manage the individual's personal affairs;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agent of a medically fragile individual authorized under a durable power of attorney for health care.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"Medically fragile individual" means any individual who, during a time of disaster or emergency, would be particularly vulnerable because of a medical condition, including individuals: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 Alzheimer's disease and other related disorders;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receiving dialysis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who are diagnosed with a debilitating chronic illness;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who are dependent on oxygen treatment;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who have medical conditions that require 24-hour supervision from a skilled nurse.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"Registry" means the registry established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174.002.</w:t>
      </w:r>
      <w:r>
        <w:rPr>
          <w:u w:val="single"/>
        </w:rPr>
        <w:t xml:space="preserve"> </w:t>
      </w:r>
      <w:r>
        <w:rPr>
          <w:u w:val="single"/>
        </w:rPr>
        <w:t xml:space="preserve"> </w:t>
      </w:r>
      <w:r>
        <w:rPr>
          <w:u w:val="single"/>
        </w:rPr>
        <w:t xml:space="preserve">RULES.  The executive commissioner shall adopt rules to implement this chapter.</w:t>
      </w:r>
    </w:p>
    <w:p w:rsidR="003F3435" w:rsidRDefault="0032493E">
      <w:pPr>
        <w:spacing w:line="480" w:lineRule="auto"/>
        <w:jc w:val="center"/>
      </w:pPr>
      <w:r>
        <w:rPr>
          <w:u w:val="single"/>
        </w:rPr>
        <w:t xml:space="preserve">SUBCHAPTER B. MEDICALLY FRAGILE INDIVIDUAL REGISTRY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174.051.</w:t>
      </w:r>
      <w:r>
        <w:rPr>
          <w:u w:val="single"/>
        </w:rPr>
        <w:t xml:space="preserve"> </w:t>
      </w:r>
      <w:r>
        <w:rPr>
          <w:u w:val="single"/>
        </w:rPr>
        <w:t xml:space="preserve"> </w:t>
      </w:r>
      <w:r>
        <w:rPr>
          <w:u w:val="single"/>
        </w:rPr>
        <w:t xml:space="preserve">MEDICALLY FRAGILE INDIVIDUAL REGISTRY.  (a) </w:t>
      </w:r>
      <w:r>
        <w:rPr>
          <w:u w:val="single"/>
        </w:rPr>
        <w:t xml:space="preserve"> </w:t>
      </w:r>
      <w:r>
        <w:rPr>
          <w:u w:val="single"/>
        </w:rPr>
        <w:t xml:space="preserve">The commission, in collaboration with the department and the division, shall establish and maintain a registry of medically fragile individuals for use as a single repository of accurate, complete, and current records to aid, coordinate, and promote an efficient response for supporting those individuals in an area: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a state of disaster declaration under Chapter 418,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experiencing an extended power, water, or gas outage;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experiencing any other event requiring a wellness check under Section 174.102.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shall, in consultation with the division, develop guidelines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protect the confidentiality of medically fragile individuals in accordance with Section 159.002,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the registry is developed in a manner consistent with the Health Insurance Portability and Accountability Act of 1996 (Pub. L. No.</w:t>
      </w:r>
      <w:r>
        <w:rPr>
          <w:u w:val="single"/>
        </w:rPr>
        <w:t xml:space="preserve"> </w:t>
      </w:r>
      <w:r>
        <w:rPr>
          <w:u w:val="single"/>
        </w:rPr>
        <w:t xml:space="preserve">104-191), regulations adopted under that Act, and other applicable laws and regulations governing disclosure of health information;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 a medically fragile individual or the individual's legally authorized representative about the registry and that registry information may be released;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the written or electronic consent of a medically fragile individual or the individual's legally authorized representative before any information relating to the individual is included in the registry;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allow a medically fragile individual or the individual's legally authorized representative to withdraw consent for the individual to be included in the registry.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174.052.</w:t>
      </w:r>
      <w:r>
        <w:rPr>
          <w:u w:val="single"/>
        </w:rPr>
        <w:t xml:space="preserve"> </w:t>
      </w:r>
      <w:r>
        <w:rPr>
          <w:u w:val="single"/>
        </w:rPr>
        <w:t xml:space="preserve"> </w:t>
      </w:r>
      <w:r>
        <w:rPr>
          <w:u w:val="single"/>
        </w:rPr>
        <w:t xml:space="preserve">CONSENT FOR REGISTRY; REMOVAL FROM REGISTRY. </w:t>
      </w:r>
      <w:r>
        <w:rPr>
          <w:u w:val="single"/>
        </w:rPr>
        <w:t xml:space="preserve"> </w:t>
      </w:r>
      <w:r>
        <w:rPr>
          <w:u w:val="single"/>
        </w:rPr>
        <w:t xml:space="preserve">(a) </w:t>
      </w:r>
      <w:r>
        <w:rPr>
          <w:u w:val="single"/>
        </w:rPr>
        <w:t xml:space="preserve"> </w:t>
      </w:r>
      <w:r>
        <w:rPr>
          <w:u w:val="single"/>
        </w:rPr>
        <w:t xml:space="preserve">A medically fragile individual's or the individual's legally authorized representative may consent to the individual's inclusion on the registry. Consent to inclusion on the registry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written or electronic;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required to be obtained only one time;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be received from the individual before the individual is included in the registry;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be revoked at any time.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consent of a medically fragile individual or the individual's legally authorized representative is valid until the individual or the individual's legally authorized representative withdraws consent in writing or electronically.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remove from the registry information for any individual for whom consent has been withdrawn. The commission may not retain individually identifiable information about any individual for whom consent has been withdrawn.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174.053.</w:t>
      </w:r>
      <w:r>
        <w:rPr>
          <w:u w:val="single"/>
        </w:rPr>
        <w:t xml:space="preserve"> </w:t>
      </w:r>
      <w:r>
        <w:rPr>
          <w:u w:val="single"/>
        </w:rPr>
        <w:t xml:space="preserve"> </w:t>
      </w:r>
      <w:r>
        <w:rPr>
          <w:u w:val="single"/>
        </w:rPr>
        <w:t xml:space="preserve">INFORMATION REQUIRED ON REGISTRY.  The registry must contain the following information regarding a medically fragile individual obtained by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individual's full name;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individual's address;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primary and secondary contact information for the individual;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individual's emergency contact information;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individual's medical condition and specific medical needs;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information that the commission, in consultation with the department and division, considers necessary.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174.054.</w:t>
      </w:r>
      <w:r>
        <w:rPr>
          <w:u w:val="single"/>
        </w:rPr>
        <w:t xml:space="preserve"> </w:t>
      </w:r>
      <w:r>
        <w:rPr>
          <w:u w:val="single"/>
        </w:rPr>
        <w:t xml:space="preserve"> </w:t>
      </w:r>
      <w:r>
        <w:rPr>
          <w:u w:val="single"/>
        </w:rPr>
        <w:t xml:space="preserve">ACCESS TO REGISTRY.  The executive commissioner shall adopt rules regarding the persons authorized to access the registry. Persons who must have access to the registry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division;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first responders;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local governments;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local health departments.</w:t>
      </w:r>
    </w:p>
    <w:p w:rsidR="003F3435" w:rsidRDefault="0032493E">
      <w:pPr>
        <w:spacing w:line="480" w:lineRule="auto"/>
        <w:jc w:val="center"/>
      </w:pPr>
      <w:r>
        <w:rPr>
          <w:u w:val="single"/>
        </w:rPr>
        <w:t xml:space="preserve">SUBCHAPTER C. WELLNESS CHECKS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174.101.</w:t>
      </w:r>
      <w:r>
        <w:rPr>
          <w:u w:val="single"/>
        </w:rPr>
        <w:t xml:space="preserve"> </w:t>
      </w:r>
      <w:r>
        <w:rPr>
          <w:u w:val="single"/>
        </w:rPr>
        <w:t xml:space="preserve"> </w:t>
      </w:r>
      <w:r>
        <w:rPr>
          <w:u w:val="single"/>
        </w:rPr>
        <w:t xml:space="preserve">REQUIRED WELLNESS CHECK.  The commission shall collaborate with the persons who have access to the registry under Section 174.054 and with applicable municipalities and counties to ensure that each medically fragile individual listed in the registry and located in an area that experiences an event requiring a wellness check as described by Section 174.102 has a wellness check conducted on the individual in accordance with this subchapter to ensure the individual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continuity of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ability to continue using electrically powered medical equipment, if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174.102.</w:t>
      </w:r>
      <w:r>
        <w:rPr>
          <w:u w:val="single"/>
        </w:rPr>
        <w:t xml:space="preserve"> </w:t>
      </w:r>
      <w:r>
        <w:rPr>
          <w:u w:val="single"/>
        </w:rPr>
        <w:t xml:space="preserve"> </w:t>
      </w:r>
      <w:r>
        <w:rPr>
          <w:u w:val="single"/>
        </w:rPr>
        <w:t xml:space="preserve">EVENTS REQUIRING WELLNESS CHECKS.  (a) </w:t>
      </w:r>
      <w:r>
        <w:rPr>
          <w:u w:val="single"/>
        </w:rPr>
        <w:t xml:space="preserve"> </w:t>
      </w:r>
      <w:r>
        <w:rPr>
          <w:u w:val="single"/>
        </w:rPr>
        <w:t xml:space="preserve">The executive  commissioner, in collaboration with the commission, department, and division, shall adopt rules regarding the events requiring a wellness check,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extended power, water, or gas outage;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 of disaster declared under Chapter 418, Government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event considered necessary by the commission, the department, or the 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more than one disaster is declared for the same event, only one wellness check is required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174.103.</w:t>
      </w:r>
      <w:r>
        <w:rPr>
          <w:u w:val="single"/>
        </w:rPr>
        <w:t xml:space="preserve"> </w:t>
      </w:r>
      <w:r>
        <w:rPr>
          <w:u w:val="single"/>
        </w:rPr>
        <w:t xml:space="preserve"> </w:t>
      </w:r>
      <w:r>
        <w:rPr>
          <w:u w:val="single"/>
        </w:rPr>
        <w:t xml:space="preserve">REQUIREMENTS FOR WELLNESS CHECK.  (a) </w:t>
      </w:r>
      <w:r>
        <w:rPr>
          <w:u w:val="single"/>
        </w:rPr>
        <w:t xml:space="preserve"> </w:t>
      </w:r>
      <w:r>
        <w:rPr>
          <w:u w:val="single"/>
        </w:rPr>
        <w:t xml:space="preserve">The executive commissioner by rule shall develop minimum standards for wellness checks. Each county and municipality shall adopt procedures for conducting wellness checks in compliance with the minimum standards.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wellness check on a medically fragile individual conducted under this subchapter must be conducted: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through: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automated telephone call and text to the individual;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personalized telephone call to the individual;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individual is unresponsive to a telephone call under Paragraph (B), an in-person wellness check;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accordance with the minimum standards prescribed by commission rule and the procedures of the applicable county or municipality.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wellness check shall be conducted as soon as practicable but not later than 24 hours after the event requiring a wellness check occurs.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any rules necessary to implement Chapter 174,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