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87R19405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Cain, Craddick, Perez,</w:t>
      </w:r>
      <w:r xml:space="preserve">
        <w:tab wTab="150" tlc="none" cTlc="0"/>
      </w:r>
      <w:r>
        <w:t xml:space="preserve">H.B.</w:t>
      </w:r>
      <w:r xml:space="preserve">
        <w:t> </w:t>
      </w:r>
      <w:r>
        <w:t xml:space="preserve">No.</w:t>
      </w:r>
      <w:r xml:space="preserve">
        <w:t> </w:t>
      </w:r>
      <w:r>
        <w:t xml:space="preserve">3713</w:t>
      </w:r>
    </w:p>
    <w:p w:rsidR="003F3435" w:rsidRDefault="0032493E">
      <w:pPr>
        <w:jc w:val="both"/>
      </w:pPr>
      <w:r xml:space="preserve">
        <w:t> </w:t>
      </w:r>
      <w:r xml:space="preserve">
        <w:t> </w:t>
      </w:r>
      <w:r xml:space="preserve">
        <w:t> </w:t>
      </w:r>
      <w:r xml:space="preserve">
        <w:t> </w:t>
      </w:r>
      <w:r xml:space="preserve">
        <w:t> </w:t>
      </w:r>
      <w:r>
        <w:t xml:space="preserve">Thompson of Brazoria</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3713:</w:t>
      </w: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C.S.H.B.</w:t>
      </w:r>
      <w:r xml:space="preserve">
        <w:t> </w:t>
      </w:r>
      <w:r>
        <w:t xml:space="preserve">No.</w:t>
      </w:r>
      <w:r xml:space="preserve">
        <w:t> </w:t>
      </w:r>
      <w:r>
        <w:t xml:space="preserve">3713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conveyance of certain real property by certain navigation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60, Water Code, is amended by adding Section 60.0381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60.0381.</w:t>
      </w:r>
      <w:r>
        <w:rPr>
          <w:u w:val="single"/>
        </w:rPr>
        <w:t xml:space="preserve"> </w:t>
      </w:r>
      <w:r>
        <w:rPr>
          <w:u w:val="single"/>
        </w:rPr>
        <w:t xml:space="preserve"> </w:t>
      </w:r>
      <w:r>
        <w:rPr>
          <w:u w:val="single"/>
        </w:rPr>
        <w:t xml:space="preserve">CONVEYANCE OF LAND BY CERTAIN NAVIGATION DISTRICTS.  (a)  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that controls a ship channel or waterway that is the subject of a project that has been authorized or modified by the United States Congress in the Water Resources Development Act of 2016 (Pub. L. No. 114-322, Title I, 130 Stat. 1632) or the Water Resources Development Act of 2020 (Pub. L. No. 116-260, Div. AA, 134 Stat. 2615);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lease entered into before the effective date of the Act enacting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including Section 5007.004, Special District Local Laws Code, to the extent that a district has entered into a surface lease with an original term of at least 20 years, the district may sell the land, improvements, easements, and any other interests in the real property or any part of the real property to the surface lease counterparty according to this section.  The land, improvements, easements, and any other interests in real property may be conveyed by the district to the surface lease counterparty, without complying with the notice and bidding or other requirements of Sections 60.040-60.042. </w:t>
      </w:r>
      <w:r>
        <w:rPr>
          <w:u w:val="single"/>
        </w:rPr>
        <w:t xml:space="preserve"> </w:t>
      </w:r>
      <w:r>
        <w:rPr>
          <w:u w:val="single"/>
        </w:rPr>
        <w:t xml:space="preserve">The sale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approved by the port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executed by the chair of the port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attested by the executive director of the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made for an amount that is not less than the reasonable market value of the land, improvements paid for by the district, easements, or other interest in real property, as applicable, at the time of contracting for the sale.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received from the sale of real property as described by this section in excess of the sum of the reasonable market value of the property and the amount of rent due for the unexpired term of the surface lease may be used only for the purpose of a project that has been authorized or modified by the United States Congress in the Water Resources Development Act of 2016 (Pub. L. No. 114-322, Title I, 130 Stat. 1632) or the Water Resources Development Act of 2020 (Pub. L. No. 116-260, Div. AA, 134 Stat. 2615).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