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87R11423 SGM-F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acceptance of donations by a county commissioners court for the performance of certain functions.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81.032,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81.032.</w:t>
      </w:r>
      <w:r xml:space="preserve">
        <w:t> </w:t>
      </w:r>
      <w:r xml:space="preserve">
        <w:t> </w:t>
      </w:r>
      <w:r>
        <w:t xml:space="preserve">ACCEPTANCE OF DONATIONS AND BEQUESTS.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the</w:t>
      </w:r>
      <w:r>
        <w:t xml:space="preserve"> [</w:t>
      </w:r>
      <w:r>
        <w:rPr>
          <w:strike/>
        </w:rPr>
        <w:t xml:space="preserve">The</w:t>
      </w:r>
      <w:r>
        <w:t xml:space="preserve">] commissioners court may accept a donation of labor or services, gift, grant, donation, bequest, or devise of money or other property on behalf of the county, including a donation under Chapter 38, Government Code, for the purpose of performing a function conferred by law on the county or a county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accept a donation of $1,000 or more for the purpose of administering elections without written consent from the secretary of state;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a donation described by Subsection (a) to perform a function of administering elections that is not explicitly authorized by the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