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bulk-power system equipment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BULK-POWER SYSTEM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"Bulk-power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facilities and control systems necessary for operating an interconnected electric energy transmission network or a portion of a network,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transmission lines rated at less than 69,000 volts;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facilities used in the local distribution of electric energy;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 energy from generation facilities needed to maintain transmission reliability.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"Bulk-power system equipment" means items used in bulk-power system substations, control rooms, or power generating stations, including reactors, capacitors, substation transformers, current coupling capacitors, large generators, backup generators, substation voltage regulators, shunt capacitor equipment, automatic circuit reclosers, instrument transformers, coupling capacity voltage transformers, protective relaying, metering equipment, high voltage circuit breakers, generation turbines, industrial control systems, distributed control systems, and safety instrumented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BULK-POWER SYSTEM TRANSACTIONS.  (a)  The commission by rule shall prohibit the acquisition, importation, transfer, or installation of bulk-power system equipment in this state as part of a transaction that the commission determines presents an undue security or safety risk to the bulk-power system in this state because of potential: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sabotage to or subversion of the design, integrity, manufacturing, production, distribution, installation, operation, or maintenance of the bulk-power system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catastrophic effects for the security or resiliency of critical infrastructure or the economy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or negotiate measures to mitigate risks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person acquiring, importing, transferring, or installing bulk-power system equipment in this state incorporate a mitigation measure in the acquisition, importation, transfer, or installation.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no later than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publish criteria for pre-approving particular equipment and particular vendors in the bulk-power system equipment market as compliant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list of pre-approved equipment and vendors.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32, Utilities Code, as added by this Act, applies only to a contract for the acquisition, importation, transfer, or installation of bulk-power system equipment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