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87R6993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H.B.</w:t>
      </w:r>
      <w:r xml:space="preserve">
        <w:t> </w:t>
      </w:r>
      <w:r>
        <w:t xml:space="preserve">No.</w:t>
      </w:r>
      <w:r xml:space="preserve">
        <w:t> </w:t>
      </w:r>
      <w:r>
        <w:t xml:space="preserve">3718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 that certain entities post human trafficking signs;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402.0351, Government Code, is amended to read as follows:</w:t>
      </w:r>
    </w:p>
    <w:p w:rsidR="003F3435" w:rsidRDefault="0032493E">
      <w:pPr>
        <w:spacing w:line="480" w:lineRule="auto"/>
        <w:ind w:firstLine="720"/>
        <w:jc w:val="both"/>
      </w:pPr>
      <w:r>
        <w:t xml:space="preserve">Sec.</w:t>
      </w:r>
      <w:r xml:space="preserve">
        <w:t> </w:t>
      </w:r>
      <w:r>
        <w:t xml:space="preserve">402.0351.</w:t>
      </w:r>
      <w:r xml:space="preserve">
        <w:t> </w:t>
      </w:r>
      <w:r xml:space="preserve">
        <w:t> </w:t>
      </w:r>
      <w:r>
        <w:t xml:space="preserve">REQUIRED POSTING OF HUMAN TRAFFICKING SIGNS </w:t>
      </w:r>
      <w:r>
        <w:rPr>
          <w:u w:val="single"/>
        </w:rPr>
        <w:t xml:space="preserve">BY</w:t>
      </w:r>
      <w:r>
        <w:t xml:space="preserve"> [</w:t>
      </w:r>
      <w:r>
        <w:rPr>
          <w:strike/>
        </w:rPr>
        <w:t xml:space="preserve">AT</w:t>
      </w:r>
      <w:r>
        <w:t xml:space="preserve">] CERTAIN </w:t>
      </w:r>
      <w:r>
        <w:rPr>
          <w:u w:val="single"/>
        </w:rPr>
        <w:t xml:space="preserve">ENTITIES</w:t>
      </w:r>
      <w:r>
        <w:t xml:space="preserve"> [</w:t>
      </w:r>
      <w:r>
        <w:rPr>
          <w:strike/>
        </w:rPr>
        <w:t xml:space="preserve">TRANSPORTATION HUBS</w:t>
      </w:r>
      <w:r>
        <w:t xml:space="preserve">]. </w:t>
      </w:r>
      <w:r>
        <w:t xml:space="preserve"> </w:t>
      </w:r>
      <w:r>
        <w:t xml:space="preserve">(a) </w:t>
      </w:r>
      <w:r>
        <w:t xml:space="preserve">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"Cosmetology facility" means a person who holds a license to operate a facility or school under Chapter 1602,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"Hospital" has the meaning assigned by Section 241.003, Health and Safety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"Hotel" has the meaning assigned by Section 2155.051, Occupations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"Massage establishment" and "massage school" have the meanings assigned by Section 455.001, Occupations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"Sexually oriented business" has the meaning assigned by Section 243.002, Local Government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"Transportation</w:t>
      </w:r>
      <w:r>
        <w:t xml:space="preserve"> [</w:t>
      </w:r>
      <w:r>
        <w:rPr>
          <w:strike/>
        </w:rPr>
        <w:t xml:space="preserve">, "transportation</w:t>
      </w:r>
      <w:r>
        <w:t xml:space="preserve">] hub" means a bus, bus stop, train, train station, rest area, </w:t>
      </w:r>
      <w:r>
        <w:rPr>
          <w:u w:val="single"/>
        </w:rPr>
        <w:t xml:space="preserve">gas station with adjacent convenience store,</w:t>
      </w:r>
      <w:r>
        <w:t xml:space="preserve"> or airport.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who operates any of the following business entities shall post at the entity the sign prescribed under Subsection (b), or a substantially similar sign, in the manner prescribed by Subsection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entity permitted or licensed under Chapter 25, 26, 28, 32, 69, or 71, Alcoholic Beverage Code, other than an entity holding a food and beverage certificate;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cosmetology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hospital;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hotel;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massage establishment;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massage school;</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sexually oriented business;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transportation hub.</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Parks and Wildlife Department shall post the sign prescribed under Subsection (b), or a substantially similar sign, in the manner prescribed by Subsection (d) at each state park and other recreational site under the department's jurisdiction.</w:t>
      </w:r>
    </w:p>
    <w:p w:rsidR="003F3435" w:rsidRDefault="0032493E">
      <w:pPr>
        <w:spacing w:line="480" w:lineRule="auto"/>
        <w:ind w:firstLine="720"/>
        <w:jc w:val="both"/>
      </w:pPr>
      <w:r>
        <w:t xml:space="preserve">(b)</w:t>
      </w:r>
      <w:r xml:space="preserve">
        <w:t> </w:t>
      </w:r>
      <w:r xml:space="preserve">
        <w:t> </w:t>
      </w:r>
      <w:r>
        <w:t xml:space="preserve">The attorney general by rule shall prescribe the design and content of a sign </w:t>
      </w:r>
      <w:r>
        <w:rPr>
          <w:u w:val="single"/>
        </w:rPr>
        <w:t xml:space="preserve">required to be posted under this section. The rules must require that the sign: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 information</w:t>
      </w:r>
      <w:r>
        <w:t xml:space="preserve"> regarding services and assistance available to victims of human trafficking</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to be displayed at transportation hubs. The sign must</w:t>
      </w:r>
      <w:r>
        <w:t xml:space="preserve">] be in [</w:t>
      </w:r>
      <w:r>
        <w:rPr>
          <w:strike/>
        </w:rPr>
        <w:t xml:space="preserve">both</w:t>
      </w:r>
      <w:r>
        <w:t xml:space="preserve">] English</w:t>
      </w:r>
      <w:r>
        <w:rPr>
          <w:u w:val="single"/>
        </w:rPr>
        <w:t xml:space="preserve">,</w:t>
      </w:r>
      <w:r>
        <w:t xml:space="preserve"> [</w:t>
      </w:r>
      <w:r>
        <w:rPr>
          <w:strike/>
        </w:rPr>
        <w:t xml:space="preserve">and</w:t>
      </w:r>
      <w:r>
        <w:t xml:space="preserve">] Spanish</w:t>
      </w:r>
      <w:r>
        <w:rPr>
          <w:u w:val="single"/>
        </w:rPr>
        <w:t xml:space="preserve">,</w:t>
      </w:r>
      <w:r>
        <w:t xml:space="preserve"> and </w:t>
      </w:r>
      <w:r>
        <w:rPr>
          <w:u w:val="single"/>
        </w:rPr>
        <w:t xml:space="preserve">any other language determined appropriate by the attorney general in consultation with the commission; and</w:t>
      </w:r>
    </w:p>
    <w:p w:rsidR="003F3435" w:rsidRDefault="0032493E">
      <w:pPr>
        <w:spacing w:line="480" w:lineRule="auto"/>
        <w:ind w:firstLine="1440"/>
        <w:jc w:val="both"/>
      </w:pPr>
      <w:r>
        <w:rPr>
          <w:u w:val="single"/>
        </w:rPr>
        <w:t xml:space="preserve">(3)</w:t>
      </w:r>
      <w:r xml:space="preserve">
        <w:t> </w:t>
      </w:r>
      <w:r xml:space="preserve">
        <w:t> </w:t>
      </w:r>
      <w:r>
        <w:t xml:space="preserve">include: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w:t>
      </w:r>
      <w:r>
        <w:rPr>
          <w:u w:val="single"/>
        </w:rPr>
        <w:t xml:space="preserve">toll-free</w:t>
      </w:r>
      <w:r>
        <w:t xml:space="preserve"> telephone number and Internet website of the National Human Trafficking Resource Center;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key indicators that a person is a victim of human trafficking.</w:t>
      </w:r>
    </w:p>
    <w:p w:rsidR="003F3435" w:rsidRDefault="0032493E">
      <w:pPr>
        <w:spacing w:line="480" w:lineRule="auto"/>
        <w:ind w:firstLine="720"/>
        <w:jc w:val="both"/>
      </w:pPr>
      <w:r>
        <w:t xml:space="preserve">(c)</w:t>
      </w:r>
      <w:r xml:space="preserve">
        <w:t> </w:t>
      </w:r>
      <w:r xml:space="preserve">
        <w:t> </w:t>
      </w:r>
      <w:r>
        <w:t xml:space="preserve">The attorney general </w:t>
      </w:r>
      <w:r>
        <w:rPr>
          <w:u w:val="single"/>
        </w:rPr>
        <w:t xml:space="preserve">shall produce signs and make the signs available at no cost to each person</w:t>
      </w:r>
      <w:r>
        <w:t xml:space="preserve"> [</w:t>
      </w:r>
      <w:r>
        <w:rPr>
          <w:strike/>
        </w:rPr>
        <w:t xml:space="preserve">by rule shall prescribe the transportation hubs that are</w:t>
      </w:r>
      <w:r>
        <w:t xml:space="preserve">] required to post a sign </w:t>
      </w:r>
      <w:r>
        <w:rPr>
          <w:u w:val="single"/>
        </w:rPr>
        <w:t xml:space="preserve">under this section.  On request, the attorney general shall provide the person with the requisite number of signs necessary to comply with this section</w:t>
      </w:r>
      <w:r>
        <w:t xml:space="preserve"> [</w:t>
      </w:r>
      <w:r>
        <w:rPr>
          <w:strike/>
        </w:rPr>
        <w:t xml:space="preserve">described by Subsection (b)</w:t>
      </w:r>
      <w:r>
        <w:t xml:space="preserve">].  </w:t>
      </w:r>
      <w:r>
        <w:rPr>
          <w:u w:val="single"/>
        </w:rPr>
        <w:t xml:space="preserve">The cost to produce and deliver signs under this subsection shall be equally shared between the attorney general and the commission.</w:t>
      </w:r>
    </w:p>
    <w:p w:rsidR="003F3435" w:rsidRDefault="0032493E">
      <w:pPr>
        <w:spacing w:line="480" w:lineRule="auto"/>
        <w:ind w:firstLine="720"/>
        <w:jc w:val="both"/>
      </w:pPr>
      <w:r>
        <w:t xml:space="preserve">(d)</w:t>
      </w:r>
      <w:r xml:space="preserve">
        <w:t> </w:t>
      </w:r>
      <w:r xml:space="preserve">
        <w:t> </w:t>
      </w:r>
      <w:r>
        <w:t xml:space="preserve">[</w:t>
      </w:r>
      <w:r>
        <w:rPr>
          <w:strike/>
        </w:rPr>
        <w:t xml:space="preserve">A person who operates a transportation hub that is required to post a sign under Subsection (c) shall post a sign described by Subsection (b) at the transportation hub.</w:t>
      </w:r>
      <w:r>
        <w:t xml:space="preserve">] The attorney general[</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by rule shall prescribe the manner </w:t>
      </w:r>
      <w:r>
        <w:rPr>
          <w:u w:val="single"/>
        </w:rPr>
        <w:t xml:space="preserve">in which</w:t>
      </w:r>
      <w:r>
        <w:t xml:space="preserve"> the sign must be displayed [</w:t>
      </w:r>
      <w:r>
        <w:rPr>
          <w:strike/>
        </w:rPr>
        <w:t xml:space="preserve">at the transportation hub</w:t>
      </w:r>
      <w:r>
        <w:t xml:space="preserve">] and any exceptions to the sign posting requirement</w:t>
      </w:r>
      <w:r>
        <w:rPr>
          <w:u w:val="single"/>
        </w:rPr>
        <w:t xml:space="preserve">. </w:t>
      </w:r>
      <w:r>
        <w:rPr>
          <w:u w:val="single"/>
        </w:rPr>
        <w:t xml:space="preserve"> </w:t>
      </w:r>
      <w:r>
        <w:rPr>
          <w:u w:val="single"/>
        </w:rPr>
        <w:t xml:space="preserve">The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require that at a minimum the sign be posted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public restroom of the entity;</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conspicuous place that is 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near the public entrance of the entity;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clear view of the public and employees and near the location similar notices are customarily posted;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 sign posted in a hospital, the areas described by Paragraphs (A) and (B) in relation to the hospital's emergency room</w:t>
      </w:r>
      <w:r>
        <w:t xml:space="preserve"> [</w:t>
      </w:r>
      <w:r>
        <w:rPr>
          <w:strike/>
        </w:rPr>
        <w:t xml:space="preserve">under this section</w:t>
      </w:r>
      <w:r>
        <w:t xml:space="preserve">]; and</w:t>
      </w:r>
    </w:p>
    <w:p w:rsidR="003F3435" w:rsidRDefault="0032493E">
      <w:pPr>
        <w:spacing w:line="480" w:lineRule="auto"/>
        <w:ind w:firstLine="1440"/>
        <w:jc w:val="both"/>
      </w:pPr>
      <w:r>
        <w:t xml:space="preserve">(2)</w:t>
      </w:r>
      <w:r xml:space="preserve">
        <w:t> </w:t>
      </w:r>
      <w:r xml:space="preserve">
        <w:t> </w:t>
      </w:r>
      <w:r>
        <w:rPr>
          <w:u w:val="single"/>
        </w:rPr>
        <w:t xml:space="preserve">may require that the sign be a certain size and that the notice be displayed in a certain font and type size</w:t>
      </w:r>
      <w:r>
        <w:t xml:space="preserve"> [</w:t>
      </w:r>
      <w:r>
        <w:rPr>
          <w:strike/>
        </w:rPr>
        <w:t xml:space="preserve">shall enforce this section</w:t>
      </w:r>
      <w:r>
        <w:t xml:space="preserve">].</w:t>
      </w:r>
    </w:p>
    <w:p w:rsidR="003F3435" w:rsidRDefault="0032493E">
      <w:pPr>
        <w:spacing w:line="480" w:lineRule="auto"/>
        <w:ind w:firstLine="720"/>
        <w:jc w:val="both"/>
      </w:pPr>
      <w:r>
        <w:t xml:space="preserve">(e)</w:t>
      </w:r>
      <w:r xml:space="preserve">
        <w:t> </w:t>
      </w:r>
      <w:r xml:space="preserve">
        <w:t> </w:t>
      </w:r>
      <w:r>
        <w:t xml:space="preserve">In adopting the rules under </w:t>
      </w:r>
      <w:r>
        <w:rPr>
          <w:u w:val="single"/>
        </w:rPr>
        <w:t xml:space="preserve">this section</w:t>
      </w:r>
      <w:r>
        <w:t xml:space="preserve"> [</w:t>
      </w:r>
      <w:r>
        <w:rPr>
          <w:strike/>
        </w:rPr>
        <w:t xml:space="preserve">Subsection (b)</w:t>
      </w:r>
      <w:r>
        <w:t xml:space="preserve">], the attorney general shall consult with </w:t>
      </w:r>
      <w:r>
        <w:rPr>
          <w:u w:val="single"/>
        </w:rPr>
        <w:t xml:space="preserve">the commission.  The content of the notice contained in the sign required by this section must be agreed to by both the attorney general and the commission</w:t>
      </w:r>
      <w:r>
        <w:t xml:space="preserve"> [</w:t>
      </w:r>
      <w:r>
        <w:rPr>
          <w:strike/>
        </w:rPr>
        <w:t xml:space="preserve">the Texas Department of Transportation</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attorney general shall issue a warning to a person for a first violation of Subsection (a-1). After receiving a warning for the first violation, a person who violates Subsection (a-1) is subject to a civil penalty in the amount of $200 for each subsequent violation.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104.07, Alcoholic Beverage Code;</w:t>
      </w:r>
    </w:p>
    <w:p w:rsidR="003F3435" w:rsidRDefault="0032493E">
      <w:pPr>
        <w:spacing w:line="480" w:lineRule="auto"/>
        <w:ind w:firstLine="1440"/>
        <w:jc w:val="both"/>
      </w:pPr>
      <w:r>
        <w:t xml:space="preserve">(2)</w:t>
      </w:r>
      <w:r xml:space="preserve">
        <w:t> </w:t>
      </w:r>
      <w:r xml:space="preserve">
        <w:t> </w:t>
      </w:r>
      <w:r>
        <w:t xml:space="preserve">Subchapter C, Chapter 102, Business &amp; Commerce Code;</w:t>
      </w:r>
    </w:p>
    <w:p w:rsidR="003F3435" w:rsidRDefault="0032493E">
      <w:pPr>
        <w:spacing w:line="480" w:lineRule="auto"/>
        <w:ind w:firstLine="1440"/>
        <w:jc w:val="both"/>
      </w:pPr>
      <w:r>
        <w:t xml:space="preserve">(3)</w:t>
      </w:r>
      <w:r xml:space="preserve">
        <w:t> </w:t>
      </w:r>
      <w:r xml:space="preserve">
        <w:t> </w:t>
      </w:r>
      <w:r>
        <w:t xml:space="preserve">Section 241.011, Health and Safety Code; and</w:t>
      </w:r>
    </w:p>
    <w:p w:rsidR="003F3435" w:rsidRDefault="0032493E">
      <w:pPr>
        <w:spacing w:line="480" w:lineRule="auto"/>
        <w:ind w:firstLine="1440"/>
        <w:jc w:val="both"/>
      </w:pPr>
      <w:r>
        <w:t xml:space="preserve">(4)</w:t>
      </w:r>
      <w:r xml:space="preserve">
        <w:t> </w:t>
      </w:r>
      <w:r xml:space="preserve">
        <w:t> </w:t>
      </w:r>
      <w:r>
        <w:t xml:space="preserve">Sections 455.207 and 1602.408, Occupations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2022, the attorney general shall:</w:t>
      </w:r>
    </w:p>
    <w:p w:rsidR="003F3435" w:rsidRDefault="0032493E">
      <w:pPr>
        <w:spacing w:line="480" w:lineRule="auto"/>
        <w:ind w:firstLine="1440"/>
        <w:jc w:val="both"/>
      </w:pPr>
      <w:r>
        <w:t xml:space="preserve">(1)</w:t>
      </w:r>
      <w:r xml:space="preserve">
        <w:t> </w:t>
      </w:r>
      <w:r xml:space="preserve">
        <w:t> </w:t>
      </w:r>
      <w:r>
        <w:t xml:space="preserve">in consultation with the Health and Human Services Commission, adopt rules necessary to implement Section 402.0351, Government Code, as amended by this Act, including rules prescribing the content and design of the sign required by that section; and</w:t>
      </w:r>
    </w:p>
    <w:p w:rsidR="003F3435" w:rsidRDefault="0032493E">
      <w:pPr>
        <w:spacing w:line="480" w:lineRule="auto"/>
        <w:ind w:firstLine="1440"/>
        <w:jc w:val="both"/>
      </w:pPr>
      <w:r>
        <w:t xml:space="preserve">(2)</w:t>
      </w:r>
      <w:r xml:space="preserve">
        <w:t> </w:t>
      </w:r>
      <w:r xml:space="preserve">
        <w:t> </w:t>
      </w:r>
      <w:r>
        <w:t xml:space="preserve">produce and make available for distribution an appropriate number of signs to properly implement Section 402.0351(c), Government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