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Frank</w:t>
      </w:r>
      <w:r xml:space="preserve">
        <w:tab wTab="150" tlc="none" cTlc="0"/>
      </w:r>
      <w:r>
        <w:t xml:space="preserve">H.B.</w:t>
      </w:r>
      <w:r xml:space="preserve">
        <w:t> </w:t>
      </w:r>
      <w:r>
        <w:t xml:space="preserve">No.</w:t>
      </w:r>
      <w:r xml:space="preserve">
        <w:t> </w:t>
      </w:r>
      <w:r>
        <w:t xml:space="preserve">3720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interest lists and eligibility criteria for certain Medicaid waiver programs.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531, Government Code, is amended by adding Sections 531.0605 and 531.0606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531.0605.</w:t>
      </w:r>
      <w:r>
        <w:rPr>
          <w:u w:val="single"/>
        </w:rPr>
        <w:t xml:space="preserve"> </w:t>
      </w:r>
      <w:r>
        <w:rPr>
          <w:u w:val="single"/>
        </w:rPr>
        <w:t xml:space="preserve"> </w:t>
      </w:r>
      <w:r>
        <w:rPr>
          <w:u w:val="single"/>
        </w:rPr>
        <w:t xml:space="preserve">INTEREST LISTS FOR CERTAIN MEDICAID WAIVER PROGRAMS.  (a) This section applies to interest lists in the following Medicaid waiver programs: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community living assistance and support services (CLASS) waiver program;</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home and community-based services (HCS) waiver program;</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deaf-blind with multiple disabilities (DBMD) waiver program;</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Texas home living (TxHmL) waiver program;</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medically dependent children (MDCP) waiver program;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STAR + PLUS home and community-based services and supports (STAR + PLUS HCBS) program.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in consultation with the Intellectual and Developmental Disability System Redesign Advisory Committee established under Section 534.053, the State Medicaid Managed Care Advisory Committee established under Section 531.012, and other interested stakeholders, shall develop a questionnaire for individuals who are on an interest list for any Medicaid waiver program.</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questionnaire described in Subsection (b) must capture, at a minimum, the following information: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general demographic and contact information;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types of assistance the individual needs;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individual's living arrangement;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caregiver supports and any risks to caregiver supports;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when delivery of the services should begin to ensure the individual's health and welfare in the least restrictive setting possible.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Beginning no later than September 1, 2024, and subject to the availability of funds, the commission shall require all individuals on an interest list to complete or update the questionnaire described in Subsection (b) on an annual basis.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For an individual on an interest list who does not respond to written or verbal requests for annual or biennial updates to interest list information or otherwise fails to maintain contact with the commission: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commission shall consider the individual inactive and determine which interest list(s) to which the inactive status will apply until the individual makes contact with the commission and indicates he or she is still interested in waiver program services;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the individual status remains inactive for four years or more, the commission shall not include the individual in reporting the number of individuals on any waiver program interest list to which the inactive status for the individual applies.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Individuals who are eligible to receive Supplemental Security Income (SSI) (42 U.S.C. Section 1381 et seq.) and are on the interest list for the MDCP waiver program as of September 1, 2021, shall be assessed by the commission for waiver program eligibility as soon as possible.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After September 1, 2021, individuals who receive Supplemental Security Income (SSI) (42 U.S.C. Section 1381 et seq.) and express an interest in receiving MDCP waiver program services shall be assessed by the commission for waiver program eligibility without first being placed on the MDCP waiver program interest list.</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commission shall explore the feasibility of creating an online portal for individuals to request placement on an interest list and to complete and update the questionnaire described in Subsection (b).</w:t>
      </w:r>
    </w:p>
    <w:p w:rsidR="003F3435" w:rsidRDefault="0032493E">
      <w:pPr>
        <w:spacing w:line="480" w:lineRule="auto"/>
        <w:ind w:firstLine="720"/>
        <w:jc w:val="both"/>
      </w:pPr>
      <w:r>
        <w:rPr>
          <w:u w:val="single"/>
        </w:rPr>
        <w:t xml:space="preserve">Sec.</w:t>
      </w:r>
      <w:r>
        <w:rPr>
          <w:u w:val="single"/>
        </w:rPr>
        <w:t xml:space="preserve"> </w:t>
      </w:r>
      <w:r>
        <w:rPr>
          <w:u w:val="single"/>
        </w:rPr>
        <w:t xml:space="preserve">531.0606.</w:t>
      </w:r>
      <w:r>
        <w:rPr>
          <w:u w:val="single"/>
        </w:rPr>
        <w:t xml:space="preserve"> </w:t>
      </w:r>
      <w:r>
        <w:rPr>
          <w:u w:val="single"/>
        </w:rPr>
        <w:t xml:space="preserve"> </w:t>
      </w:r>
      <w:r>
        <w:rPr>
          <w:u w:val="single"/>
        </w:rPr>
        <w:t xml:space="preserve">ELIGIBILITY FOR CERTAIN MEDICAID WAIVER PROGRAMS.  (a) In determining eligibility criteria for the TxHmL waiver program, the commission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establish income eligibility levels consistent with Title XIX of the Social Security Act and any other applicable law or regulations, so that an individual whose income is at or below 300 percent of the federal poverty level is eligible for the program;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add level of care VIII, as defined by the commission, to the eligibility criteria for the program.</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3720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