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87R11538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materials for contact tracers and case investigators for public health disasters and other public health emergencies.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81, Health and Safety Code, is amended by adding Section 81.069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CONTACT TRACER AND CASE INVESTIGATOR TRAINING MATERIALS.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"Contact tracing" means identifying individuals who may have been exposed to an infected individual for the purpose of containing the spread of a communicable disease by notifying those individuals of the exposure and need for testing and self-quarantine.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"Infected individual" means an individual known or reasonably suspected to be infected with a communicable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develop training materials for use by health care providers in conducting contact tracing and case investigation during a public health disaster or other public health emergency related to a communicable disease.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post the training materials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the Department of State Health Services shall develop the training materials required by Section 81.069,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