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87R11603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3724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rate change proceedings for certain water and sewer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13.18715,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13.1871, when the regulatory authority sets a complaint for hearing under Section 13.1871(i):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regulatory authority shall suspend the effective date of the rate change;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until a final determination is made on the utility's proposed rate, the utility may not charge or collect a rate other than the rate the utility charged immediately before the utility filed the rate change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13.1872, Water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13.1871, when the regulatory authority sets a complaint for hearing under Section 13.1871(i):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regulatory authority shall suspend the effective date of the rate change;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until a final determination is made on the utility's proposed rate, the utility may not charge or collect a rate other than the rate the utility charged immediately before the utility filed the rate change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proceeding affecting the rates of a Class C or Class D utility, as defined by Section 13.002, Water Code, that commences on or after the effective date of this Act.  A proceeding affecting the rates of a Class C or Class D utility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