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87R10982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Muñoz, Jr., Ramos, Raymond,</w:t>
      </w:r>
      <w:r xml:space="preserve">
        <w:tab wTab="150" tlc="none" cTlc="0"/>
      </w:r>
      <w:r>
        <w:t xml:space="preserve">H.B.</w:t>
      </w:r>
      <w:r xml:space="preserve">
        <w:t> </w:t>
      </w:r>
      <w:r>
        <w:t xml:space="preserve">No.</w:t>
      </w:r>
      <w:r xml:space="preserve">
        <w:t> </w:t>
      </w:r>
      <w:r>
        <w:t xml:space="preserve">3740</w:t>
      </w:r>
    </w:p>
    <w:p w:rsidR="003F3435" w:rsidRDefault="0032493E">
      <w:pPr>
        <w:jc w:val="both"/>
      </w:pPr>
      <w:r xml:space="preserve">
        <w:t> </w:t>
      </w:r>
      <w:r xml:space="preserve">
        <w:t> </w:t>
      </w:r>
      <w:r xml:space="preserve">
        <w:t> </w:t>
      </w:r>
      <w:r xml:space="preserve">
        <w:t> </w:t>
      </w:r>
      <w:r xml:space="preserve">
        <w:t> </w:t>
      </w:r>
      <w:r>
        <w:t xml:space="preserve">Guerra,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home telemonitoring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531.02164(c),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program required under this section must:</w:t>
      </w:r>
    </w:p>
    <w:p w:rsidR="003F3435" w:rsidRDefault="0032493E">
      <w:pPr>
        <w:spacing w:line="480" w:lineRule="auto"/>
        <w:ind w:firstLine="1440"/>
        <w:jc w:val="both"/>
      </w:pPr>
      <w:r>
        <w:t xml:space="preserve">(1)</w:t>
      </w:r>
      <w:r xml:space="preserve">
        <w:t> </w:t>
      </w:r>
      <w:r xml:space="preserve">
        <w:t> </w:t>
      </w:r>
      <w:r>
        <w:t xml:space="preserve">provide that home telemonitoring services are available only to persons who:</w:t>
      </w:r>
    </w:p>
    <w:p w:rsidR="003F3435" w:rsidRDefault="0032493E">
      <w:pPr>
        <w:spacing w:line="480" w:lineRule="auto"/>
        <w:ind w:firstLine="2160"/>
        <w:jc w:val="both"/>
      </w:pPr>
      <w:r>
        <w:t xml:space="preserve">(A)</w:t>
      </w:r>
      <w:r xml:space="preserve">
        <w:t> </w:t>
      </w:r>
      <w:r xml:space="preserve">
        <w:t> </w:t>
      </w:r>
      <w:r>
        <w:t xml:space="preserve">are diagnosed with one or more of the following conditions:</w:t>
      </w:r>
    </w:p>
    <w:p w:rsidR="003F3435" w:rsidRDefault="0032493E">
      <w:pPr>
        <w:spacing w:line="480" w:lineRule="auto"/>
        <w:ind w:firstLine="2880"/>
        <w:jc w:val="both"/>
      </w:pPr>
      <w:r>
        <w:t xml:space="preserve">(i)</w:t>
      </w:r>
      <w:r xml:space="preserve">
        <w:t> </w:t>
      </w:r>
      <w:r xml:space="preserve">
        <w:t> </w:t>
      </w:r>
      <w:r>
        <w:t xml:space="preserve">pregnancy;</w:t>
      </w:r>
    </w:p>
    <w:p w:rsidR="003F3435" w:rsidRDefault="0032493E">
      <w:pPr>
        <w:spacing w:line="480" w:lineRule="auto"/>
        <w:ind w:firstLine="2880"/>
        <w:jc w:val="both"/>
      </w:pPr>
      <w:r>
        <w:t xml:space="preserve">(ii)</w:t>
      </w:r>
      <w:r xml:space="preserve">
        <w:t> </w:t>
      </w:r>
      <w:r xml:space="preserve">
        <w:t> </w:t>
      </w:r>
      <w:r>
        <w:t xml:space="preserve">diabetes;</w:t>
      </w:r>
    </w:p>
    <w:p w:rsidR="003F3435" w:rsidRDefault="0032493E">
      <w:pPr>
        <w:spacing w:line="480" w:lineRule="auto"/>
        <w:ind w:firstLine="2880"/>
        <w:jc w:val="both"/>
      </w:pPr>
      <w:r>
        <w:t xml:space="preserve">(iii)</w:t>
      </w:r>
      <w:r xml:space="preserve">
        <w:t> </w:t>
      </w:r>
      <w:r xml:space="preserve">
        <w:t> </w:t>
      </w:r>
      <w:r>
        <w:t xml:space="preserve">heart disease;</w:t>
      </w:r>
    </w:p>
    <w:p w:rsidR="003F3435" w:rsidRDefault="0032493E">
      <w:pPr>
        <w:spacing w:line="480" w:lineRule="auto"/>
        <w:ind w:firstLine="2880"/>
        <w:jc w:val="both"/>
      </w:pPr>
      <w:r>
        <w:t xml:space="preserve">(iv)</w:t>
      </w:r>
      <w:r xml:space="preserve">
        <w:t> </w:t>
      </w:r>
      <w:r xml:space="preserve">
        <w:t> </w:t>
      </w:r>
      <w:r>
        <w:t xml:space="preserve">cancer;</w:t>
      </w:r>
    </w:p>
    <w:p w:rsidR="003F3435" w:rsidRDefault="0032493E">
      <w:pPr>
        <w:spacing w:line="480" w:lineRule="auto"/>
        <w:ind w:firstLine="2880"/>
        <w:jc w:val="both"/>
      </w:pPr>
      <w:r>
        <w:t xml:space="preserve">(v)</w:t>
      </w:r>
      <w:r xml:space="preserve">
        <w:t> </w:t>
      </w:r>
      <w:r xml:space="preserve">
        <w:t> </w:t>
      </w:r>
      <w:r>
        <w:t xml:space="preserve">chronic obstructive pulmonary disease;</w:t>
      </w:r>
    </w:p>
    <w:p w:rsidR="003F3435" w:rsidRDefault="0032493E">
      <w:pPr>
        <w:spacing w:line="480" w:lineRule="auto"/>
        <w:ind w:firstLine="2880"/>
        <w:jc w:val="both"/>
      </w:pPr>
      <w:r>
        <w:t xml:space="preserve">(vi)</w:t>
      </w:r>
      <w:r xml:space="preserve">
        <w:t> </w:t>
      </w:r>
      <w:r xml:space="preserve">
        <w:t> </w:t>
      </w:r>
      <w:r>
        <w:t xml:space="preserve">hypertension;</w:t>
      </w:r>
    </w:p>
    <w:p w:rsidR="003F3435" w:rsidRDefault="0032493E">
      <w:pPr>
        <w:spacing w:line="480" w:lineRule="auto"/>
        <w:ind w:firstLine="2880"/>
        <w:jc w:val="both"/>
      </w:pPr>
      <w:r>
        <w:t xml:space="preserve">(vii)</w:t>
      </w:r>
      <w:r xml:space="preserve">
        <w:t> </w:t>
      </w:r>
      <w:r xml:space="preserve">
        <w:t> </w:t>
      </w:r>
      <w:r>
        <w:t xml:space="preserve">congestive heart failure;</w:t>
      </w:r>
    </w:p>
    <w:p w:rsidR="003F3435" w:rsidRDefault="0032493E">
      <w:pPr>
        <w:spacing w:line="480" w:lineRule="auto"/>
        <w:ind w:firstLine="2880"/>
        <w:jc w:val="both"/>
      </w:pPr>
      <w:r>
        <w:t xml:space="preserve">(viii)</w:t>
      </w:r>
      <w:r xml:space="preserve">
        <w:t> </w:t>
      </w:r>
      <w:r xml:space="preserve">
        <w:t> </w:t>
      </w:r>
      <w:r>
        <w:t xml:space="preserve">mental illness or serious emotional disturbance;</w:t>
      </w:r>
    </w:p>
    <w:p w:rsidR="003F3435" w:rsidRDefault="0032493E">
      <w:pPr>
        <w:spacing w:line="480" w:lineRule="auto"/>
        <w:ind w:firstLine="2880"/>
        <w:jc w:val="both"/>
      </w:pPr>
      <w:r>
        <w:t xml:space="preserve">(ix)</w:t>
      </w:r>
      <w:r xml:space="preserve">
        <w:t> </w:t>
      </w:r>
      <w:r xml:space="preserve">
        <w:t> </w:t>
      </w:r>
      <w:r>
        <w:t xml:space="preserve">asthma;</w:t>
      </w:r>
    </w:p>
    <w:p w:rsidR="003F3435" w:rsidRDefault="0032493E">
      <w:pPr>
        <w:spacing w:line="480" w:lineRule="auto"/>
        <w:ind w:firstLine="2880"/>
        <w:jc w:val="both"/>
      </w:pPr>
      <w:r>
        <w:t xml:space="preserve">(x)</w:t>
      </w:r>
      <w:r xml:space="preserve">
        <w:t> </w:t>
      </w:r>
      <w:r xml:space="preserve">
        <w:t> </w:t>
      </w:r>
      <w:r>
        <w:t xml:space="preserve">myocardial infarction; or</w:t>
      </w:r>
    </w:p>
    <w:p w:rsidR="003F3435" w:rsidRDefault="0032493E">
      <w:pPr>
        <w:spacing w:line="480" w:lineRule="auto"/>
        <w:ind w:firstLine="2880"/>
        <w:jc w:val="both"/>
      </w:pPr>
      <w:r>
        <w:t xml:space="preserve">(xi)</w:t>
      </w:r>
      <w:r xml:space="preserve">
        <w:t> </w:t>
      </w:r>
      <w:r xml:space="preserve">
        <w:t> </w:t>
      </w:r>
      <w:r>
        <w:t xml:space="preserve">stroke; and</w:t>
      </w:r>
    </w:p>
    <w:p w:rsidR="003F3435" w:rsidRDefault="0032493E">
      <w:pPr>
        <w:spacing w:line="480" w:lineRule="auto"/>
        <w:ind w:firstLine="2160"/>
        <w:jc w:val="both"/>
      </w:pPr>
      <w:r>
        <w:t xml:space="preserve">(B)</w:t>
      </w:r>
      <w:r xml:space="preserve">
        <w:t> </w:t>
      </w:r>
      <w:r xml:space="preserve">
        <w:t> </w:t>
      </w:r>
      <w:r>
        <w:t xml:space="preserve">exhibit two or more of the following risk factors:</w:t>
      </w:r>
    </w:p>
    <w:p w:rsidR="003F3435" w:rsidRDefault="0032493E">
      <w:pPr>
        <w:spacing w:line="480" w:lineRule="auto"/>
        <w:ind w:firstLine="2880"/>
        <w:jc w:val="both"/>
      </w:pPr>
      <w:r>
        <w:t xml:space="preserve">(i)</w:t>
      </w:r>
      <w:r xml:space="preserve">
        <w:t> </w:t>
      </w:r>
      <w:r xml:space="preserve">
        <w:t> </w:t>
      </w:r>
      <w:r>
        <w:t xml:space="preserve">two or more hospitalizations in the prior 12-month period;</w:t>
      </w:r>
    </w:p>
    <w:p w:rsidR="003F3435" w:rsidRDefault="0032493E">
      <w:pPr>
        <w:spacing w:line="480" w:lineRule="auto"/>
        <w:ind w:firstLine="2880"/>
        <w:jc w:val="both"/>
      </w:pPr>
      <w:r>
        <w:t xml:space="preserve">(ii)</w:t>
      </w:r>
      <w:r xml:space="preserve">
        <w:t> </w:t>
      </w:r>
      <w:r xml:space="preserve">
        <w:t> </w:t>
      </w:r>
      <w:r>
        <w:t xml:space="preserve">frequent or recurrent emergency room admissions;</w:t>
      </w:r>
    </w:p>
    <w:p w:rsidR="003F3435" w:rsidRDefault="0032493E">
      <w:pPr>
        <w:spacing w:line="480" w:lineRule="auto"/>
        <w:ind w:firstLine="2880"/>
        <w:jc w:val="both"/>
      </w:pPr>
      <w:r>
        <w:t xml:space="preserve">(iii)</w:t>
      </w:r>
      <w:r xml:space="preserve">
        <w:t> </w:t>
      </w:r>
      <w:r xml:space="preserve">
        <w:t> </w:t>
      </w:r>
      <w:r>
        <w:t xml:space="preserve">a documented history of poor adherence to ordered medication regimens;</w:t>
      </w:r>
    </w:p>
    <w:p w:rsidR="003F3435" w:rsidRDefault="0032493E">
      <w:pPr>
        <w:spacing w:line="480" w:lineRule="auto"/>
        <w:ind w:firstLine="2880"/>
        <w:jc w:val="both"/>
      </w:pPr>
      <w:r>
        <w:t xml:space="preserve">(iv)</w:t>
      </w:r>
      <w:r xml:space="preserve">
        <w:t> </w:t>
      </w:r>
      <w:r xml:space="preserve">
        <w:t> </w:t>
      </w:r>
      <w:r>
        <w:t xml:space="preserve">a documented history of falls in the prior six-month period;</w:t>
      </w:r>
    </w:p>
    <w:p w:rsidR="003F3435" w:rsidRDefault="0032493E">
      <w:pPr>
        <w:spacing w:line="480" w:lineRule="auto"/>
        <w:ind w:firstLine="2880"/>
        <w:jc w:val="both"/>
      </w:pPr>
      <w:r>
        <w:t xml:space="preserve">(v)</w:t>
      </w:r>
      <w:r xml:space="preserve">
        <w:t> </w:t>
      </w:r>
      <w:r xml:space="preserve">
        <w:t> </w:t>
      </w:r>
      <w:r>
        <w:t xml:space="preserve">limited or absent informal support systems;</w:t>
      </w:r>
    </w:p>
    <w:p w:rsidR="003F3435" w:rsidRDefault="0032493E">
      <w:pPr>
        <w:spacing w:line="480" w:lineRule="auto"/>
        <w:ind w:firstLine="2880"/>
        <w:jc w:val="both"/>
      </w:pPr>
      <w:r>
        <w:t xml:space="preserve">(vi)</w:t>
      </w:r>
      <w:r xml:space="preserve">
        <w:t> </w:t>
      </w:r>
      <w:r xml:space="preserve">
        <w:t> </w:t>
      </w:r>
      <w:r>
        <w:t xml:space="preserve">living alone or being home alone for extended periods of time; [</w:t>
      </w:r>
      <w:r>
        <w:rPr>
          <w:strike/>
        </w:rPr>
        <w:t xml:space="preserve">and</w:t>
      </w:r>
      <w:r>
        <w:t xml:space="preserve">]</w:t>
      </w:r>
    </w:p>
    <w:p w:rsidR="003F3435" w:rsidRDefault="0032493E">
      <w:pPr>
        <w:spacing w:line="480" w:lineRule="auto"/>
        <w:ind w:firstLine="2880"/>
        <w:jc w:val="both"/>
      </w:pPr>
      <w:r>
        <w:t xml:space="preserve">(vii)</w:t>
      </w:r>
      <w:r xml:space="preserve">
        <w:t> </w:t>
      </w:r>
      <w:r xml:space="preserve">
        <w:t> </w:t>
      </w:r>
      <w:r>
        <w:t xml:space="preserve">a documented history of care access challenges; </w:t>
      </w:r>
      <w:r>
        <w:rPr>
          <w:u w:val="single"/>
        </w:rPr>
        <w:t xml:space="preserve">and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a need for a weekly or monthly skilled nursing assessment;</w:t>
      </w:r>
    </w:p>
    <w:p w:rsidR="003F3435" w:rsidRDefault="0032493E">
      <w:pPr>
        <w:spacing w:line="480" w:lineRule="auto"/>
        <w:ind w:firstLine="1440"/>
        <w:jc w:val="both"/>
      </w:pPr>
      <w:r>
        <w:t xml:space="preserve">(2)</w:t>
      </w:r>
      <w:r xml:space="preserve">
        <w:t> </w:t>
      </w:r>
      <w:r xml:space="preserve">
        <w:t> </w:t>
      </w:r>
      <w:r>
        <w:t xml:space="preserve">ensure that clinical information gathered by a home and community support services agency or hospital while providing home telemonitoring services is shared with the patient's physician; and</w:t>
      </w:r>
    </w:p>
    <w:p w:rsidR="003F3435" w:rsidRDefault="0032493E">
      <w:pPr>
        <w:spacing w:line="480" w:lineRule="auto"/>
        <w:ind w:firstLine="1440"/>
        <w:jc w:val="both"/>
      </w:pPr>
      <w:r>
        <w:t xml:space="preserve">(3)</w:t>
      </w:r>
      <w:r xml:space="preserve">
        <w:t> </w:t>
      </w:r>
      <w:r xml:space="preserve">
        <w:t> </w:t>
      </w:r>
      <w:r>
        <w:t xml:space="preserve">ensure that the program does not duplicate disease management program services provided under Section 32.057,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