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87R23046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Oliverson, Smithee</w:t>
      </w:r>
      <w:r xml:space="preserve">
        <w:tab wTab="150" tlc="none" cTlc="0"/>
      </w:r>
      <w:r>
        <w:t xml:space="preserve">H.B.</w:t>
      </w:r>
      <w:r xml:space="preserve">
        <w:t> </w:t>
      </w:r>
      <w:r>
        <w:t xml:space="preserve">No.</w:t>
      </w:r>
      <w:r xml:space="preserve">
        <w:t> </w:t>
      </w:r>
      <w:r>
        <w:t xml:space="preserve">3742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the use of genetic information gathered from direct-to-consumer genetic tests by a long-term care benefit plan issuer or a life insurance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Insurance Code, is amended by adding Chapter 564 to read as follows:</w:t>
      </w:r>
    </w:p>
    <w:p w:rsidR="003F3435" w:rsidRDefault="0032493E">
      <w:pPr>
        <w:spacing w:line="480" w:lineRule="auto"/>
        <w:jc w:val="center"/>
      </w:pPr>
      <w:r>
        <w:rPr>
          <w:u w:val="single"/>
        </w:rPr>
        <w:t xml:space="preserve">CHAPTER 564.  USE OF GENETIC INFORMATION GATHERED FROM DIRECT-TO-CONSUMER GENETIC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564.001.</w:t>
      </w:r>
      <w:r>
        <w:rPr>
          <w:u w:val="single"/>
        </w:rPr>
        <w:t xml:space="preserve"> </w:t>
      </w:r>
      <w:r>
        <w:rPr>
          <w:u w:val="single"/>
        </w:rPr>
        <w:t xml:space="preserve"> </w:t>
      </w:r>
      <w:r>
        <w:rPr>
          <w:u w:val="single"/>
        </w:rPr>
        <w:t xml:space="preserve">APPLICABILITY OF CHAPTER.  (a)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long-term care benefit plan that is delivered or issued for delivery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long-term care benefit plan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delivered or issued for delivery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issued to an eligible group as described by Subchapter B, Chapter 1251;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evidence of coverage delivered or issued for delivery in this state for long-term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life insurance policy issued or delivered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policy, certificate, or evidence of coverage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capital stock insurance company, including a life, health and accident, or general casualty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mutual life insurance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mutual assessment life insurance company, including a statewide mutual assessment corporation, local mutual aid association, and burial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mutual or mutual assessment association, including an association subject to Section 887.101;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mutual insurance company other than a life insurance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mutual or natural premium life or casualty insurance company;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insurer;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nonprofit medical, hospital, or dental service corporation, including a company subject to Chapter 842;</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health maintenance organization under Chapter 843;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another insurer required to be licensed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564.002.</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group policy or certificate that is delivered or issued for delivery in this state under a single employer or labor union group policy that is delivered or issued for delivery outside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benefit plan, including a health benefit plan, that is not advertised, marketed, or offered as a long-term care benefit plan or nursing home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564.003.</w:t>
      </w:r>
      <w:r>
        <w:rPr>
          <w:u w:val="single"/>
        </w:rPr>
        <w:t xml:space="preserve"> </w:t>
      </w:r>
      <w:r>
        <w:rPr>
          <w:u w:val="single"/>
        </w:rPr>
        <w:t xml:space="preserve"> </w:t>
      </w:r>
      <w:r>
        <w:rPr>
          <w:u w:val="single"/>
        </w:rPr>
        <w:t xml:space="preserve">LONG-TERM CARE BENEFIT PLAN DEFINED.  (a)  In this chapter, "long-term care benefit plan" means an insurance policy or group certificate, or rider to the policy or certificate, or evidence of coverage issued by a health maintenance organization subject to Chapter 843, that is advertised or marketed as providing, or offered or designed to provide, coverage for not less than 12 consecutive months for each covered individual on an expense-incurred, indemnity, prepaid, or other basis for one or more necessary or medically necessary diagnostic, preventive, therapeutic, rehabilitative, maintenance, or personal care services provided in a setting other than an acute care unit of a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includes a plan or rider, other than a group or individual annuity or life insurance policy, that provides for payment of benefits based on cognitive impairment or the loss of functional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does not include an insurance policy, group certificate, or evidence of coverage that is offered primarily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Medicare supplement coverage, basic hospital expense coverage, basic medical-surgical expense coverage, hospital confinement indemnity coverage, major medical expense coverage, disability income protection coverage, accident-only coverage, specified disease or specified accident coverage, or limited benefit health coverage;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basic or single health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564.004.</w:t>
      </w:r>
      <w:r>
        <w:rPr>
          <w:u w:val="single"/>
        </w:rPr>
        <w:t xml:space="preserve"> </w:t>
      </w:r>
      <w:r>
        <w:rPr>
          <w:u w:val="single"/>
        </w:rPr>
        <w:t xml:space="preserve"> </w:t>
      </w:r>
      <w:r>
        <w:rPr>
          <w:u w:val="single"/>
        </w:rPr>
        <w:t xml:space="preserve">USE OF INFORMATION GATHERED FROM DIRECT-TO-CONSUMER GENETIC TESTS PROHIBITED.  (a)  In this section, "direct-to-consumer genetic test" means a genetic test that is marketed directly to consumers using television, print advertisements, or the Internet and that may be purchased directly by a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Without written consent from an individual applying for coverage under a long-term care benefit plan or life insurance policy, a long-term care benefit plan issuer or life insurance company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individual to furnish genetic information gathered from a direct-to-consumer genetic test;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genetic information gathered from a direct-to-consumer genetic test to reject, deny, limit, increase the premiums for, or otherwise adversely affect eligibility for or coverage under the plan or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to prohibit or limit the ability of an insurer to request and obtain medical information from an individual applying for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564, Insurance Code, as added by this Act, applies only to an insurance policy, contract, or evidence of coverage that is delivered, issued for delivery, or renewed on or after January 1, 2022.  A policy, contract, or evidence of coverage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