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87R6454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3755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cost-sharing requirements for certain physical therapy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32.064, Human Resources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provision of this section, Section 32.0641, or other law, the executive commissioner may not adopt rules imposing on a recipient of medical assistance a copayment or other cost-sharing requirement for the receipt of physical therapy services in an amount that is greater than a copayment or other cost-sharing requirement imposed on the recipient for the receipt of a primary care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