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87R12000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3757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recommendation by the COVID-19 Expert Vaccine Allocation Panel to prioritize public school employees in vaccine allocation and distribution.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161.007066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161.007066.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EXPERT VACCINE ALLOCATION PANEL; PRIORITIZATION OF PUBLIC SCHOOL EMPLOYEES.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COVID-19 Expert Vaccine Allocation Panel convened to develop recommendations for the allocation of COVID-19 vaccines for the commissioner shall prioritize the allocation and distribution of vaccines for public school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January 1, 2023.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3757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