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87R427 KSD-D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on certain employer requirements relating to employee jury duty compensation.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61, Labor Code, is amended by adding Section 61.0185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61.0185.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EMPLOYER REQUIREMENTS RELATING TO JURY DUTY COMPENSATION.  An employer who pays wages, including on a salary basis, to an employee for any period during which the employee is absent from work due to reporting for jury service and discharging that duty may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the employee to remit to the employer any reimbursement for travel or other expenses, or any other compensation, received by the employee for that service;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withhold or divert any part of the employee's wages to offset the amount of any reimbursement or other compensation described by Subdivision 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with respect to reimbursement or compensation for jury service that commences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