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87R7185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3765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remedial plans issued by the State Board of Dental Examiners to address complaints against dentists and dental hygienists.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263.0077, Occupations Code, is amended by amending Subsection (d) and adding Subsection (f-1) to read as follows:</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w:t>
      </w:r>
      <w:r>
        <w:rPr>
          <w:u w:val="single"/>
        </w:rPr>
        <w:t xml:space="preserve">entered into a remedial plan with the board in the preceding five years</w:t>
      </w:r>
      <w:r>
        <w:t xml:space="preserve"> [</w:t>
      </w:r>
      <w:r>
        <w:rPr>
          <w:strike/>
        </w:rPr>
        <w:t xml:space="preserve">previously entered into a remedial plan with the board for the resolution of a different complaint filed under this subtitle</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On or after the fifth anniversary of the date a remedial plan is issued under this section, the board may remove from the board's public Internet website any public information regarding the dentist or dental hygienist with respect to the plan and the complaint resolved by the plan,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related to the delivery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remedial plan has been issued to resolve complaints alleging the same violation by the dentist or dental hygienist, including a complaint not related to the delivery of health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263.0077, Occupations Code, as amended by this Act, applies to a remedial plan issued by the State Board of Dental Examiners on or after the effective date of this Act.  A remedial plan issued before that date is governed by the law in effect on the date the plan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