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donations to local charities ordered to be paid as a condition of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42A.304(f),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Instead of requiring the defendant to work a specified number of hours at one or more community service projects under Subsection (a), the judge may order a defendant to make a specified donation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nonprofit food bank or food pantry in the community in which the defendant 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charitable organization engaged primarily in performing charitable functions for veterans in the community in which the defendant resides;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veterans county service office established by the commissioners court as provided by Government Code, Subchapter B, Chapter 434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 county with a population of less than 50,000, another nonprofit organization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exempt from taxation under Section 501(a) of the Internal Revenue Code of 1986 because it is listed in Section 501(c)(3) of that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 services or assistance to needy</w:t>
      </w:r>
      <w:r>
        <w:t xml:space="preserve"> individuals and families in the community in which the defendant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